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469" w:beforeLines="150"/>
        <w:ind w:left="0" w:leftChars="0" w:firstLine="0" w:firstLineChars="0"/>
        <w:jc w:val="center"/>
        <w:textAlignment w:val="auto"/>
        <w:rPr>
          <w:rFonts w:hint="eastAsia" w:ascii="黑体" w:hAnsi="黑体" w:eastAsia="黑体" w:cs="黑体"/>
          <w:b/>
          <w:bCs/>
          <w:color w:val="auto"/>
          <w:sz w:val="36"/>
          <w:szCs w:val="36"/>
          <w:highlight w:val="none"/>
          <w:lang w:val="en-US" w:eastAsia="zh-CN"/>
        </w:rPr>
      </w:pPr>
      <w:r>
        <w:rPr>
          <w:rFonts w:hint="eastAsia" w:ascii="楷体_GB2312" w:hAnsi="Times New Roman" w:eastAsia="楷体_GB2312"/>
          <w:b/>
          <w:color w:val="auto"/>
          <w:spacing w:val="20"/>
          <w:sz w:val="48"/>
          <w:szCs w:val="48"/>
          <w:highlight w:val="none"/>
        </w:rPr>
        <w:t>衡阳市</w:t>
      </w:r>
      <w:r>
        <w:rPr>
          <w:rFonts w:hint="eastAsia" w:ascii="楷体_GB2312" w:eastAsia="楷体_GB2312"/>
          <w:b/>
          <w:color w:val="auto"/>
          <w:spacing w:val="20"/>
          <w:sz w:val="48"/>
          <w:szCs w:val="48"/>
          <w:highlight w:val="none"/>
          <w:lang w:val="en-US" w:eastAsia="zh-CN"/>
        </w:rPr>
        <w:t>回雁峰公园地下停车场</w:t>
      </w:r>
      <w:r>
        <w:rPr>
          <w:rFonts w:hint="eastAsia" w:ascii="楷体_GB2312" w:hAnsi="Times New Roman" w:eastAsia="楷体_GB2312"/>
          <w:b/>
          <w:color w:val="auto"/>
          <w:spacing w:val="20"/>
          <w:sz w:val="48"/>
          <w:szCs w:val="48"/>
          <w:highlight w:val="none"/>
        </w:rPr>
        <w:t>建设工程项目</w:t>
      </w:r>
    </w:p>
    <w:p>
      <w:pPr>
        <w:ind w:left="0" w:leftChars="0" w:firstLine="0" w:firstLineChars="0"/>
        <w:jc w:val="center"/>
        <w:rPr>
          <w:rFonts w:hint="eastAsia" w:ascii="黑体" w:hAnsi="黑体" w:eastAsia="黑体" w:cs="黑体"/>
          <w:b/>
          <w:bCs/>
          <w:color w:val="auto"/>
          <w:sz w:val="36"/>
          <w:szCs w:val="36"/>
          <w:highlight w:val="none"/>
          <w:lang w:val="en-US" w:eastAsia="zh-CN"/>
        </w:rPr>
      </w:pPr>
      <w:r>
        <w:rPr>
          <w:rFonts w:hint="eastAsia" w:ascii="Times New Roman" w:hAnsi="Times New Roman" w:eastAsia="宋体" w:cs="Times New Roman"/>
          <w:snapToGrid/>
          <w:color w:val="auto"/>
          <w:kern w:val="2"/>
          <w:sz w:val="56"/>
          <w:szCs w:val="56"/>
          <w:highlight w:val="none"/>
          <w:lang w:val="en-US" w:eastAsia="zh-CN" w:bidi="ar-SA"/>
        </w:rPr>
        <w:t>水土</w:t>
      </w:r>
      <w:r>
        <w:rPr>
          <w:rFonts w:hint="eastAsia" w:eastAsia="宋体" w:cs="Times New Roman"/>
          <w:snapToGrid/>
          <w:color w:val="auto"/>
          <w:kern w:val="2"/>
          <w:sz w:val="56"/>
          <w:szCs w:val="56"/>
          <w:highlight w:val="none"/>
          <w:lang w:val="en-US" w:eastAsia="zh-CN" w:bidi="ar-SA"/>
        </w:rPr>
        <w:t>保持</w:t>
      </w:r>
      <w:r>
        <w:rPr>
          <w:rFonts w:hint="eastAsia" w:ascii="Times New Roman" w:hAnsi="Times New Roman" w:eastAsia="宋体" w:cs="Times New Roman"/>
          <w:snapToGrid/>
          <w:color w:val="auto"/>
          <w:kern w:val="2"/>
          <w:sz w:val="56"/>
          <w:szCs w:val="56"/>
          <w:highlight w:val="none"/>
          <w:lang w:val="en-US" w:eastAsia="zh-CN" w:bidi="ar-SA"/>
        </w:rPr>
        <w:t>监测总结报告</w:t>
      </w:r>
    </w:p>
    <w:p>
      <w:pPr>
        <w:ind w:left="0" w:leftChars="0" w:firstLine="0" w:firstLineChars="0"/>
        <w:jc w:val="center"/>
        <w:rPr>
          <w:rFonts w:hint="eastAsia" w:ascii="黑体" w:hAnsi="黑体" w:eastAsia="黑体" w:cs="黑体"/>
          <w:b/>
          <w:bCs/>
          <w:color w:val="auto"/>
          <w:sz w:val="36"/>
          <w:szCs w:val="36"/>
          <w:highlight w:val="none"/>
          <w:lang w:val="en-US" w:eastAsia="zh-CN"/>
        </w:rPr>
      </w:pPr>
    </w:p>
    <w:p>
      <w:pPr>
        <w:ind w:left="0" w:leftChars="0" w:firstLine="0" w:firstLineChars="0"/>
        <w:jc w:val="center"/>
        <w:rPr>
          <w:rFonts w:hint="eastAsia" w:ascii="黑体" w:hAnsi="黑体" w:eastAsia="黑体" w:cs="黑体"/>
          <w:b/>
          <w:bCs/>
          <w:color w:val="auto"/>
          <w:sz w:val="36"/>
          <w:szCs w:val="36"/>
          <w:highlight w:val="none"/>
          <w:lang w:val="en-US" w:eastAsia="zh-CN"/>
        </w:rPr>
      </w:pPr>
    </w:p>
    <w:p>
      <w:pPr>
        <w:bidi w:val="0"/>
        <w:rPr>
          <w:rFonts w:hint="eastAsia"/>
          <w:color w:val="auto"/>
          <w:highlight w:val="none"/>
          <w:lang w:val="en-US" w:eastAsia="zh-CN"/>
        </w:rPr>
      </w:pPr>
    </w:p>
    <w:p>
      <w:pPr>
        <w:bidi w:val="0"/>
        <w:rPr>
          <w:rFonts w:hint="eastAsia"/>
          <w:color w:val="auto"/>
          <w:highlight w:val="none"/>
          <w:lang w:val="en-US" w:eastAsia="zh-CN"/>
        </w:rPr>
      </w:pPr>
    </w:p>
    <w:p>
      <w:pPr>
        <w:bidi w:val="0"/>
        <w:rPr>
          <w:rFonts w:hint="eastAsia"/>
          <w:color w:val="auto"/>
          <w:highlight w:val="none"/>
          <w:lang w:val="en-US" w:eastAsia="zh-CN"/>
        </w:rPr>
      </w:pPr>
    </w:p>
    <w:p>
      <w:pPr>
        <w:bidi w:val="0"/>
        <w:rPr>
          <w:rFonts w:hint="eastAsia"/>
          <w:color w:val="auto"/>
          <w:highlight w:val="none"/>
          <w:lang w:val="en-US" w:eastAsia="zh-CN"/>
        </w:rPr>
      </w:pPr>
    </w:p>
    <w:p>
      <w:pPr>
        <w:bidi w:val="0"/>
        <w:rPr>
          <w:rFonts w:hint="eastAsia"/>
          <w:color w:val="auto"/>
          <w:highlight w:val="none"/>
          <w:lang w:val="en-US" w:eastAsia="zh-CN"/>
        </w:rPr>
      </w:pPr>
    </w:p>
    <w:p>
      <w:pPr>
        <w:bidi w:val="0"/>
        <w:rPr>
          <w:rFonts w:hint="eastAsia"/>
          <w:color w:val="auto"/>
          <w:highlight w:val="none"/>
          <w:lang w:val="en-US" w:eastAsia="zh-CN"/>
        </w:rPr>
      </w:pPr>
    </w:p>
    <w:p>
      <w:pPr>
        <w:bidi w:val="0"/>
        <w:rPr>
          <w:rFonts w:hint="eastAsia"/>
          <w:color w:val="auto"/>
          <w:highlight w:val="none"/>
          <w:lang w:val="en-US" w:eastAsia="zh-CN"/>
        </w:rPr>
      </w:pPr>
    </w:p>
    <w:p>
      <w:pPr>
        <w:bidi w:val="0"/>
        <w:rPr>
          <w:rFonts w:hint="eastAsia"/>
          <w:color w:val="auto"/>
          <w:highlight w:val="none"/>
          <w:lang w:val="en-US" w:eastAsia="zh-CN"/>
        </w:rPr>
      </w:pPr>
    </w:p>
    <w:p>
      <w:pPr>
        <w:bidi w:val="0"/>
        <w:rPr>
          <w:rFonts w:hint="eastAsia"/>
          <w:color w:val="auto"/>
          <w:highlight w:val="none"/>
          <w:lang w:val="en-US" w:eastAsia="zh-CN"/>
        </w:rPr>
      </w:pPr>
    </w:p>
    <w:p>
      <w:pPr>
        <w:bidi w:val="0"/>
        <w:rPr>
          <w:rFonts w:hint="eastAsia"/>
          <w:color w:val="auto"/>
          <w:highlight w:val="none"/>
          <w:lang w:val="en-US" w:eastAsia="zh-CN"/>
        </w:rPr>
      </w:pPr>
    </w:p>
    <w:p>
      <w:pPr>
        <w:bidi w:val="0"/>
        <w:ind w:firstLine="2168" w:firstLineChars="900"/>
        <w:jc w:val="both"/>
        <w:rPr>
          <w:rFonts w:hint="eastAsia"/>
          <w:b/>
          <w:bCs/>
          <w:color w:val="auto"/>
          <w:highlight w:val="none"/>
          <w:lang w:val="en-US" w:eastAsia="zh-CN"/>
        </w:rPr>
      </w:pPr>
      <w:r>
        <w:rPr>
          <w:rFonts w:hint="eastAsia"/>
          <w:b/>
          <w:bCs/>
          <w:color w:val="auto"/>
          <w:highlight w:val="none"/>
          <w:lang w:val="en-US" w:eastAsia="zh-CN"/>
        </w:rPr>
        <w:t>项目名称：衡阳市廻雁峰公园地下停车场</w:t>
      </w:r>
    </w:p>
    <w:p>
      <w:pPr>
        <w:bidi w:val="0"/>
        <w:ind w:firstLine="2168" w:firstLineChars="900"/>
        <w:jc w:val="both"/>
        <w:rPr>
          <w:rFonts w:hint="eastAsia"/>
          <w:b/>
          <w:bCs/>
          <w:color w:val="auto"/>
          <w:highlight w:val="none"/>
          <w:lang w:val="en-US" w:eastAsia="zh-CN"/>
        </w:rPr>
      </w:pPr>
      <w:r>
        <w:rPr>
          <w:rFonts w:hint="eastAsia"/>
          <w:b/>
          <w:bCs/>
          <w:color w:val="auto"/>
          <w:highlight w:val="none"/>
          <w:lang w:val="en-US" w:eastAsia="zh-CN"/>
        </w:rPr>
        <w:t>建设单位：衡阳市城市建设投资有限公司</w:t>
      </w:r>
    </w:p>
    <w:p>
      <w:pPr>
        <w:bidi w:val="0"/>
        <w:ind w:firstLine="2168" w:firstLineChars="900"/>
        <w:jc w:val="both"/>
        <w:rPr>
          <w:rFonts w:hint="eastAsia"/>
          <w:b/>
          <w:bCs/>
          <w:color w:val="auto"/>
          <w:highlight w:val="none"/>
          <w:lang w:val="en-US" w:eastAsia="zh-CN"/>
        </w:rPr>
      </w:pPr>
      <w:r>
        <w:rPr>
          <w:rFonts w:hint="eastAsia"/>
          <w:b/>
          <w:bCs/>
          <w:color w:val="auto"/>
          <w:highlight w:val="none"/>
          <w:lang w:val="en-US" w:eastAsia="zh-CN"/>
        </w:rPr>
        <w:t>建设地点：衡阳市雁峰区湘江西岸廻雁峰公园内</w:t>
      </w:r>
    </w:p>
    <w:p>
      <w:pPr>
        <w:ind w:left="0" w:leftChars="0" w:firstLine="0" w:firstLineChars="0"/>
        <w:jc w:val="center"/>
        <w:rPr>
          <w:rFonts w:hint="default" w:ascii="黑体" w:hAnsi="黑体" w:eastAsia="黑体" w:cs="黑体"/>
          <w:b/>
          <w:bCs/>
          <w:color w:val="auto"/>
          <w:sz w:val="36"/>
          <w:szCs w:val="36"/>
          <w:highlight w:val="none"/>
          <w:lang w:val="en-US" w:eastAsia="zh-CN"/>
        </w:rPr>
        <w:sectPr>
          <w:pgSz w:w="11906" w:h="16838"/>
          <w:pgMar w:top="1440" w:right="1800" w:bottom="1440" w:left="1800" w:header="851" w:footer="992" w:gutter="0"/>
          <w:cols w:space="425" w:num="1"/>
          <w:docGrid w:type="lines" w:linePitch="312" w:charSpace="0"/>
        </w:sectPr>
      </w:pPr>
    </w:p>
    <w:p>
      <w:pPr>
        <w:pStyle w:val="15"/>
        <w:tabs>
          <w:tab w:val="right" w:leader="dot" w:pos="8306"/>
        </w:tabs>
        <w:ind w:left="0" w:leftChars="0" w:firstLine="0" w:firstLineChars="0"/>
        <w:jc w:val="center"/>
        <w:rPr>
          <w:rFonts w:hint="eastAsia" w:ascii="黑体" w:hAnsi="黑体" w:eastAsia="黑体" w:cs="黑体"/>
          <w:color w:val="auto"/>
          <w:sz w:val="44"/>
          <w:szCs w:val="44"/>
          <w:highlight w:val="none"/>
          <w:lang w:val="en-US" w:eastAsia="zh-CN"/>
        </w:rPr>
      </w:pPr>
      <w:r>
        <w:rPr>
          <w:rFonts w:hint="eastAsia" w:ascii="黑体" w:hAnsi="黑体" w:eastAsia="黑体" w:cs="黑体"/>
          <w:color w:val="auto"/>
          <w:sz w:val="44"/>
          <w:szCs w:val="44"/>
          <w:highlight w:val="none"/>
          <w:lang w:val="en-US" w:eastAsia="zh-CN"/>
        </w:rPr>
        <w:t>目录</w:t>
      </w:r>
    </w:p>
    <w:p>
      <w:pPr>
        <w:pStyle w:val="15"/>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TOC \o "1-3" \h \u </w:instrText>
      </w:r>
      <w:r>
        <w:rPr>
          <w:rFonts w:hint="default"/>
          <w:color w:val="auto"/>
          <w:highlight w:val="none"/>
          <w:lang w:val="en-US" w:eastAsia="zh-CN"/>
        </w:rPr>
        <w:fldChar w:fldCharType="separate"/>
      </w:r>
      <w:r>
        <w:rPr>
          <w:rFonts w:hint="default"/>
          <w:color w:val="auto"/>
          <w:highlight w:val="none"/>
          <w:lang w:val="en-US" w:eastAsia="zh-CN"/>
        </w:rPr>
        <w:fldChar w:fldCharType="begin"/>
      </w:r>
      <w:r>
        <w:rPr>
          <w:rFonts w:hint="default"/>
          <w:color w:val="auto"/>
          <w:highlight w:val="none"/>
          <w:lang w:val="en-US" w:eastAsia="zh-CN"/>
        </w:rPr>
        <w:instrText xml:space="preserve"> HYPERLINK \l _Toc14773 </w:instrText>
      </w:r>
      <w:r>
        <w:rPr>
          <w:rFonts w:hint="default"/>
          <w:color w:val="auto"/>
          <w:highlight w:val="none"/>
          <w:lang w:val="en-US" w:eastAsia="zh-CN"/>
        </w:rPr>
        <w:fldChar w:fldCharType="separate"/>
      </w:r>
      <w:r>
        <w:rPr>
          <w:color w:val="auto"/>
          <w:highlight w:val="none"/>
        </w:rPr>
        <w:t>1</w:t>
      </w:r>
      <w:r>
        <w:rPr>
          <w:rFonts w:hint="eastAsia"/>
          <w:color w:val="auto"/>
          <w:highlight w:val="none"/>
          <w:lang w:eastAsia="zh-CN"/>
        </w:rPr>
        <w:t>、</w:t>
      </w:r>
      <w:r>
        <w:rPr>
          <w:rFonts w:hint="eastAsia"/>
          <w:color w:val="auto"/>
          <w:highlight w:val="none"/>
        </w:rPr>
        <w:t>建设项目及水土保持工作概况</w:t>
      </w:r>
      <w:r>
        <w:rPr>
          <w:color w:val="auto"/>
          <w:highlight w:val="none"/>
        </w:rPr>
        <w:tab/>
      </w:r>
      <w:r>
        <w:rPr>
          <w:color w:val="auto"/>
          <w:highlight w:val="none"/>
        </w:rPr>
        <w:fldChar w:fldCharType="begin"/>
      </w:r>
      <w:r>
        <w:rPr>
          <w:color w:val="auto"/>
          <w:highlight w:val="none"/>
        </w:rPr>
        <w:instrText xml:space="preserve"> PAGEREF _Toc14773 \h </w:instrText>
      </w:r>
      <w:r>
        <w:rPr>
          <w:color w:val="auto"/>
          <w:highlight w:val="none"/>
        </w:rPr>
        <w:fldChar w:fldCharType="separate"/>
      </w:r>
      <w:r>
        <w:rPr>
          <w:color w:val="auto"/>
          <w:highlight w:val="none"/>
        </w:rPr>
        <w:t>4</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_Toc1499 </w:instrText>
      </w:r>
      <w:r>
        <w:rPr>
          <w:rFonts w:hint="default"/>
          <w:color w:val="auto"/>
          <w:highlight w:val="none"/>
          <w:lang w:val="en-US" w:eastAsia="zh-CN"/>
        </w:rPr>
        <w:fldChar w:fldCharType="separate"/>
      </w:r>
      <w:r>
        <w:rPr>
          <w:color w:val="auto"/>
          <w:highlight w:val="none"/>
        </w:rPr>
        <w:t xml:space="preserve">1.1 </w:t>
      </w:r>
      <w:r>
        <w:rPr>
          <w:rFonts w:hint="eastAsia"/>
          <w:color w:val="auto"/>
          <w:highlight w:val="none"/>
        </w:rPr>
        <w:t>建设项目概况</w:t>
      </w:r>
      <w:r>
        <w:rPr>
          <w:color w:val="auto"/>
          <w:highlight w:val="none"/>
        </w:rPr>
        <w:tab/>
      </w:r>
      <w:r>
        <w:rPr>
          <w:color w:val="auto"/>
          <w:highlight w:val="none"/>
        </w:rPr>
        <w:fldChar w:fldCharType="begin"/>
      </w:r>
      <w:r>
        <w:rPr>
          <w:color w:val="auto"/>
          <w:highlight w:val="none"/>
        </w:rPr>
        <w:instrText xml:space="preserve"> PAGEREF _Toc1499 \h </w:instrText>
      </w:r>
      <w:r>
        <w:rPr>
          <w:color w:val="auto"/>
          <w:highlight w:val="none"/>
        </w:rPr>
        <w:fldChar w:fldCharType="separate"/>
      </w:r>
      <w:r>
        <w:rPr>
          <w:color w:val="auto"/>
          <w:highlight w:val="none"/>
        </w:rPr>
        <w:t>4</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_Toc23593 </w:instrText>
      </w:r>
      <w:r>
        <w:rPr>
          <w:rFonts w:hint="default"/>
          <w:color w:val="auto"/>
          <w:highlight w:val="none"/>
          <w:lang w:val="en-US" w:eastAsia="zh-CN"/>
        </w:rPr>
        <w:fldChar w:fldCharType="separate"/>
      </w:r>
      <w:r>
        <w:rPr>
          <w:color w:val="auto"/>
          <w:highlight w:val="none"/>
        </w:rPr>
        <w:t xml:space="preserve">1.1.1 </w:t>
      </w:r>
      <w:r>
        <w:rPr>
          <w:rFonts w:hint="eastAsia"/>
          <w:color w:val="auto"/>
          <w:highlight w:val="none"/>
        </w:rPr>
        <w:t>项目基本情况</w:t>
      </w:r>
      <w:r>
        <w:rPr>
          <w:color w:val="auto"/>
          <w:highlight w:val="none"/>
        </w:rPr>
        <w:tab/>
      </w:r>
      <w:r>
        <w:rPr>
          <w:color w:val="auto"/>
          <w:highlight w:val="none"/>
        </w:rPr>
        <w:fldChar w:fldCharType="begin"/>
      </w:r>
      <w:r>
        <w:rPr>
          <w:color w:val="auto"/>
          <w:highlight w:val="none"/>
        </w:rPr>
        <w:instrText xml:space="preserve"> PAGEREF _Toc23593 \h </w:instrText>
      </w:r>
      <w:r>
        <w:rPr>
          <w:color w:val="auto"/>
          <w:highlight w:val="none"/>
        </w:rPr>
        <w:fldChar w:fldCharType="separate"/>
      </w:r>
      <w:r>
        <w:rPr>
          <w:color w:val="auto"/>
          <w:highlight w:val="none"/>
        </w:rPr>
        <w:t>4</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_Toc29871 </w:instrText>
      </w:r>
      <w:r>
        <w:rPr>
          <w:rFonts w:hint="default"/>
          <w:color w:val="auto"/>
          <w:highlight w:val="none"/>
          <w:lang w:val="en-US" w:eastAsia="zh-CN"/>
        </w:rPr>
        <w:fldChar w:fldCharType="separate"/>
      </w:r>
      <w:r>
        <w:rPr>
          <w:color w:val="auto"/>
          <w:highlight w:val="none"/>
        </w:rPr>
        <w:t xml:space="preserve">1.1.2 </w:t>
      </w:r>
      <w:r>
        <w:rPr>
          <w:rFonts w:hint="eastAsia"/>
          <w:color w:val="auto"/>
          <w:highlight w:val="none"/>
        </w:rPr>
        <w:t>项目区概况</w:t>
      </w:r>
      <w:r>
        <w:rPr>
          <w:color w:val="auto"/>
          <w:highlight w:val="none"/>
        </w:rPr>
        <w:tab/>
      </w:r>
      <w:r>
        <w:rPr>
          <w:color w:val="auto"/>
          <w:highlight w:val="none"/>
        </w:rPr>
        <w:fldChar w:fldCharType="begin"/>
      </w:r>
      <w:r>
        <w:rPr>
          <w:color w:val="auto"/>
          <w:highlight w:val="none"/>
        </w:rPr>
        <w:instrText xml:space="preserve"> PAGEREF _Toc29871 \h </w:instrText>
      </w:r>
      <w:r>
        <w:rPr>
          <w:color w:val="auto"/>
          <w:highlight w:val="none"/>
        </w:rPr>
        <w:fldChar w:fldCharType="separate"/>
      </w:r>
      <w:r>
        <w:rPr>
          <w:color w:val="auto"/>
          <w:highlight w:val="none"/>
        </w:rPr>
        <w:t>4</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_Toc13750 </w:instrText>
      </w:r>
      <w:r>
        <w:rPr>
          <w:rFonts w:hint="default"/>
          <w:color w:val="auto"/>
          <w:highlight w:val="none"/>
          <w:lang w:val="en-US" w:eastAsia="zh-CN"/>
        </w:rPr>
        <w:fldChar w:fldCharType="separate"/>
      </w:r>
      <w:r>
        <w:rPr>
          <w:color w:val="auto"/>
          <w:highlight w:val="none"/>
        </w:rPr>
        <w:t xml:space="preserve">1.2 </w:t>
      </w:r>
      <w:r>
        <w:rPr>
          <w:rFonts w:hint="eastAsia"/>
          <w:color w:val="auto"/>
          <w:highlight w:val="none"/>
        </w:rPr>
        <w:t>水土保持工作情况</w:t>
      </w:r>
      <w:r>
        <w:rPr>
          <w:color w:val="auto"/>
          <w:highlight w:val="none"/>
        </w:rPr>
        <w:tab/>
      </w:r>
      <w:r>
        <w:rPr>
          <w:color w:val="auto"/>
          <w:highlight w:val="none"/>
        </w:rPr>
        <w:fldChar w:fldCharType="begin"/>
      </w:r>
      <w:r>
        <w:rPr>
          <w:color w:val="auto"/>
          <w:highlight w:val="none"/>
        </w:rPr>
        <w:instrText xml:space="preserve"> PAGEREF _Toc13750 \h </w:instrText>
      </w:r>
      <w:r>
        <w:rPr>
          <w:color w:val="auto"/>
          <w:highlight w:val="none"/>
        </w:rPr>
        <w:fldChar w:fldCharType="separate"/>
      </w:r>
      <w:r>
        <w:rPr>
          <w:color w:val="auto"/>
          <w:highlight w:val="none"/>
        </w:rPr>
        <w:t>9</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_Toc31752 </w:instrText>
      </w:r>
      <w:r>
        <w:rPr>
          <w:rFonts w:hint="default"/>
          <w:color w:val="auto"/>
          <w:highlight w:val="none"/>
          <w:lang w:val="en-US" w:eastAsia="zh-CN"/>
        </w:rPr>
        <w:fldChar w:fldCharType="separate"/>
      </w:r>
      <w:r>
        <w:rPr>
          <w:color w:val="auto"/>
          <w:highlight w:val="none"/>
        </w:rPr>
        <w:t xml:space="preserve">1.2.1 </w:t>
      </w:r>
      <w:r>
        <w:rPr>
          <w:rFonts w:hint="eastAsia"/>
          <w:color w:val="auto"/>
          <w:highlight w:val="none"/>
        </w:rPr>
        <w:t>水土保持方案编报</w:t>
      </w:r>
      <w:r>
        <w:rPr>
          <w:color w:val="auto"/>
          <w:highlight w:val="none"/>
        </w:rPr>
        <w:tab/>
      </w:r>
      <w:r>
        <w:rPr>
          <w:color w:val="auto"/>
          <w:highlight w:val="none"/>
        </w:rPr>
        <w:fldChar w:fldCharType="begin"/>
      </w:r>
      <w:r>
        <w:rPr>
          <w:color w:val="auto"/>
          <w:highlight w:val="none"/>
        </w:rPr>
        <w:instrText xml:space="preserve"> PAGEREF _Toc31752 \h </w:instrText>
      </w:r>
      <w:r>
        <w:rPr>
          <w:color w:val="auto"/>
          <w:highlight w:val="none"/>
        </w:rPr>
        <w:fldChar w:fldCharType="separate"/>
      </w:r>
      <w:r>
        <w:rPr>
          <w:color w:val="auto"/>
          <w:highlight w:val="none"/>
        </w:rPr>
        <w:t>9</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_Toc20817 </w:instrText>
      </w:r>
      <w:r>
        <w:rPr>
          <w:rFonts w:hint="default"/>
          <w:color w:val="auto"/>
          <w:highlight w:val="none"/>
          <w:lang w:val="en-US" w:eastAsia="zh-CN"/>
        </w:rPr>
        <w:fldChar w:fldCharType="separate"/>
      </w:r>
      <w:r>
        <w:rPr>
          <w:color w:val="auto"/>
          <w:highlight w:val="none"/>
        </w:rPr>
        <w:t xml:space="preserve">1.2.2 </w:t>
      </w:r>
      <w:r>
        <w:rPr>
          <w:rFonts w:hint="eastAsia"/>
          <w:color w:val="auto"/>
          <w:highlight w:val="none"/>
        </w:rPr>
        <w:t>水土保持方案变更</w:t>
      </w:r>
      <w:r>
        <w:rPr>
          <w:color w:val="auto"/>
          <w:highlight w:val="none"/>
        </w:rPr>
        <w:tab/>
      </w:r>
      <w:r>
        <w:rPr>
          <w:color w:val="auto"/>
          <w:highlight w:val="none"/>
        </w:rPr>
        <w:fldChar w:fldCharType="begin"/>
      </w:r>
      <w:r>
        <w:rPr>
          <w:color w:val="auto"/>
          <w:highlight w:val="none"/>
        </w:rPr>
        <w:instrText xml:space="preserve"> PAGEREF _Toc20817 \h </w:instrText>
      </w:r>
      <w:r>
        <w:rPr>
          <w:color w:val="auto"/>
          <w:highlight w:val="none"/>
        </w:rPr>
        <w:fldChar w:fldCharType="separate"/>
      </w:r>
      <w:r>
        <w:rPr>
          <w:color w:val="auto"/>
          <w:highlight w:val="none"/>
        </w:rPr>
        <w:t>9</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_Toc19310 </w:instrText>
      </w:r>
      <w:r>
        <w:rPr>
          <w:rFonts w:hint="default"/>
          <w:color w:val="auto"/>
          <w:highlight w:val="none"/>
          <w:lang w:val="en-US" w:eastAsia="zh-CN"/>
        </w:rPr>
        <w:fldChar w:fldCharType="separate"/>
      </w:r>
      <w:r>
        <w:rPr>
          <w:color w:val="auto"/>
          <w:highlight w:val="none"/>
        </w:rPr>
        <w:t xml:space="preserve">1.3.3 </w:t>
      </w:r>
      <w:r>
        <w:rPr>
          <w:rFonts w:hint="eastAsia"/>
          <w:color w:val="auto"/>
          <w:highlight w:val="none"/>
        </w:rPr>
        <w:t>监测点布设</w:t>
      </w:r>
      <w:r>
        <w:rPr>
          <w:color w:val="auto"/>
          <w:highlight w:val="none"/>
        </w:rPr>
        <w:tab/>
      </w:r>
      <w:r>
        <w:rPr>
          <w:color w:val="auto"/>
          <w:highlight w:val="none"/>
        </w:rPr>
        <w:fldChar w:fldCharType="begin"/>
      </w:r>
      <w:r>
        <w:rPr>
          <w:color w:val="auto"/>
          <w:highlight w:val="none"/>
        </w:rPr>
        <w:instrText xml:space="preserve"> PAGEREF _Toc19310 \h </w:instrText>
      </w:r>
      <w:r>
        <w:rPr>
          <w:color w:val="auto"/>
          <w:highlight w:val="none"/>
        </w:rPr>
        <w:fldChar w:fldCharType="separate"/>
      </w:r>
      <w:r>
        <w:rPr>
          <w:color w:val="auto"/>
          <w:highlight w:val="none"/>
        </w:rPr>
        <w:t>13</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_Toc22299 </w:instrText>
      </w:r>
      <w:r>
        <w:rPr>
          <w:rFonts w:hint="default"/>
          <w:color w:val="auto"/>
          <w:highlight w:val="none"/>
          <w:lang w:val="en-US" w:eastAsia="zh-CN"/>
        </w:rPr>
        <w:fldChar w:fldCharType="separate"/>
      </w:r>
      <w:r>
        <w:rPr>
          <w:color w:val="auto"/>
          <w:highlight w:val="none"/>
        </w:rPr>
        <w:t xml:space="preserve">1.3.4 </w:t>
      </w:r>
      <w:r>
        <w:rPr>
          <w:rFonts w:hint="eastAsia"/>
          <w:color w:val="auto"/>
          <w:highlight w:val="none"/>
        </w:rPr>
        <w:t>监测设施设备</w:t>
      </w:r>
      <w:r>
        <w:rPr>
          <w:color w:val="auto"/>
          <w:highlight w:val="none"/>
        </w:rPr>
        <w:tab/>
      </w:r>
      <w:r>
        <w:rPr>
          <w:color w:val="auto"/>
          <w:highlight w:val="none"/>
        </w:rPr>
        <w:fldChar w:fldCharType="begin"/>
      </w:r>
      <w:r>
        <w:rPr>
          <w:color w:val="auto"/>
          <w:highlight w:val="none"/>
        </w:rPr>
        <w:instrText xml:space="preserve"> PAGEREF _Toc22299 \h </w:instrText>
      </w:r>
      <w:r>
        <w:rPr>
          <w:color w:val="auto"/>
          <w:highlight w:val="none"/>
        </w:rPr>
        <w:fldChar w:fldCharType="separate"/>
      </w:r>
      <w:r>
        <w:rPr>
          <w:color w:val="auto"/>
          <w:highlight w:val="none"/>
        </w:rPr>
        <w:t>13</w:t>
      </w:r>
      <w:r>
        <w:rPr>
          <w:color w:val="auto"/>
          <w:highlight w:val="none"/>
        </w:rPr>
        <w:fldChar w:fldCharType="end"/>
      </w:r>
      <w:r>
        <w:rPr>
          <w:rFonts w:hint="default"/>
          <w:color w:val="auto"/>
          <w:highlight w:val="none"/>
          <w:lang w:val="en-US" w:eastAsia="zh-CN"/>
        </w:rPr>
        <w:fldChar w:fldCharType="end"/>
      </w:r>
    </w:p>
    <w:p>
      <w:pPr>
        <w:pStyle w:val="15"/>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_Toc20024 </w:instrText>
      </w:r>
      <w:r>
        <w:rPr>
          <w:rFonts w:hint="default"/>
          <w:color w:val="auto"/>
          <w:highlight w:val="none"/>
          <w:lang w:val="en-US" w:eastAsia="zh-CN"/>
        </w:rPr>
        <w:fldChar w:fldCharType="separate"/>
      </w:r>
      <w:r>
        <w:rPr>
          <w:color w:val="auto"/>
          <w:highlight w:val="none"/>
        </w:rPr>
        <w:t>2 监测内容与方法</w:t>
      </w:r>
      <w:r>
        <w:rPr>
          <w:color w:val="auto"/>
          <w:highlight w:val="none"/>
        </w:rPr>
        <w:tab/>
      </w:r>
      <w:r>
        <w:rPr>
          <w:color w:val="auto"/>
          <w:highlight w:val="none"/>
        </w:rPr>
        <w:fldChar w:fldCharType="begin"/>
      </w:r>
      <w:r>
        <w:rPr>
          <w:color w:val="auto"/>
          <w:highlight w:val="none"/>
        </w:rPr>
        <w:instrText xml:space="preserve"> PAGEREF _Toc20024 \h </w:instrText>
      </w:r>
      <w:r>
        <w:rPr>
          <w:color w:val="auto"/>
          <w:highlight w:val="none"/>
        </w:rPr>
        <w:fldChar w:fldCharType="separate"/>
      </w:r>
      <w:r>
        <w:rPr>
          <w:color w:val="auto"/>
          <w:highlight w:val="none"/>
        </w:rPr>
        <w:t>16</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_Toc16871 </w:instrText>
      </w:r>
      <w:r>
        <w:rPr>
          <w:rFonts w:hint="default"/>
          <w:color w:val="auto"/>
          <w:highlight w:val="none"/>
          <w:lang w:val="en-US" w:eastAsia="zh-CN"/>
        </w:rPr>
        <w:fldChar w:fldCharType="separate"/>
      </w:r>
      <w:r>
        <w:rPr>
          <w:color w:val="auto"/>
          <w:highlight w:val="none"/>
        </w:rPr>
        <w:t>2.1 扰动地表情况监测</w:t>
      </w:r>
      <w:r>
        <w:rPr>
          <w:color w:val="auto"/>
          <w:highlight w:val="none"/>
        </w:rPr>
        <w:tab/>
      </w:r>
      <w:r>
        <w:rPr>
          <w:color w:val="auto"/>
          <w:highlight w:val="none"/>
        </w:rPr>
        <w:fldChar w:fldCharType="begin"/>
      </w:r>
      <w:r>
        <w:rPr>
          <w:color w:val="auto"/>
          <w:highlight w:val="none"/>
        </w:rPr>
        <w:instrText xml:space="preserve"> PAGEREF _Toc16871 \h </w:instrText>
      </w:r>
      <w:r>
        <w:rPr>
          <w:color w:val="auto"/>
          <w:highlight w:val="none"/>
        </w:rPr>
        <w:fldChar w:fldCharType="separate"/>
      </w:r>
      <w:r>
        <w:rPr>
          <w:color w:val="auto"/>
          <w:highlight w:val="none"/>
        </w:rPr>
        <w:t>16</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_Toc9591 </w:instrText>
      </w:r>
      <w:r>
        <w:rPr>
          <w:rFonts w:hint="default"/>
          <w:color w:val="auto"/>
          <w:highlight w:val="none"/>
          <w:lang w:val="en-US" w:eastAsia="zh-CN"/>
        </w:rPr>
        <w:fldChar w:fldCharType="separate"/>
      </w:r>
      <w:r>
        <w:rPr>
          <w:color w:val="auto"/>
          <w:highlight w:val="none"/>
        </w:rPr>
        <w:t>2.2 取土、弃渣监测</w:t>
      </w:r>
      <w:r>
        <w:rPr>
          <w:color w:val="auto"/>
          <w:highlight w:val="none"/>
        </w:rPr>
        <w:tab/>
      </w:r>
      <w:r>
        <w:rPr>
          <w:color w:val="auto"/>
          <w:highlight w:val="none"/>
        </w:rPr>
        <w:fldChar w:fldCharType="begin"/>
      </w:r>
      <w:r>
        <w:rPr>
          <w:color w:val="auto"/>
          <w:highlight w:val="none"/>
        </w:rPr>
        <w:instrText xml:space="preserve"> PAGEREF _Toc9591 \h </w:instrText>
      </w:r>
      <w:r>
        <w:rPr>
          <w:color w:val="auto"/>
          <w:highlight w:val="none"/>
        </w:rPr>
        <w:fldChar w:fldCharType="separate"/>
      </w:r>
      <w:r>
        <w:rPr>
          <w:color w:val="auto"/>
          <w:highlight w:val="none"/>
        </w:rPr>
        <w:t>16</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_Toc8674 </w:instrText>
      </w:r>
      <w:r>
        <w:rPr>
          <w:rFonts w:hint="default"/>
          <w:color w:val="auto"/>
          <w:highlight w:val="none"/>
          <w:lang w:val="en-US" w:eastAsia="zh-CN"/>
        </w:rPr>
        <w:fldChar w:fldCharType="separate"/>
      </w:r>
      <w:r>
        <w:rPr>
          <w:color w:val="auto"/>
          <w:highlight w:val="none"/>
        </w:rPr>
        <w:t>2.3 水土保持措施</w:t>
      </w:r>
      <w:r>
        <w:rPr>
          <w:color w:val="auto"/>
          <w:highlight w:val="none"/>
        </w:rPr>
        <w:tab/>
      </w:r>
      <w:r>
        <w:rPr>
          <w:color w:val="auto"/>
          <w:highlight w:val="none"/>
        </w:rPr>
        <w:fldChar w:fldCharType="begin"/>
      </w:r>
      <w:r>
        <w:rPr>
          <w:color w:val="auto"/>
          <w:highlight w:val="none"/>
        </w:rPr>
        <w:instrText xml:space="preserve"> PAGEREF _Toc8674 \h </w:instrText>
      </w:r>
      <w:r>
        <w:rPr>
          <w:color w:val="auto"/>
          <w:highlight w:val="none"/>
        </w:rPr>
        <w:fldChar w:fldCharType="separate"/>
      </w:r>
      <w:r>
        <w:rPr>
          <w:color w:val="auto"/>
          <w:highlight w:val="none"/>
        </w:rPr>
        <w:t>16</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_Toc20091 </w:instrText>
      </w:r>
      <w:r>
        <w:rPr>
          <w:rFonts w:hint="default"/>
          <w:color w:val="auto"/>
          <w:highlight w:val="none"/>
          <w:lang w:val="en-US" w:eastAsia="zh-CN"/>
        </w:rPr>
        <w:fldChar w:fldCharType="separate"/>
      </w:r>
      <w:r>
        <w:rPr>
          <w:color w:val="auto"/>
          <w:highlight w:val="none"/>
        </w:rPr>
        <w:t>2.4 水土流失情况</w:t>
      </w:r>
      <w:r>
        <w:rPr>
          <w:color w:val="auto"/>
          <w:highlight w:val="none"/>
        </w:rPr>
        <w:tab/>
      </w:r>
      <w:r>
        <w:rPr>
          <w:color w:val="auto"/>
          <w:highlight w:val="none"/>
        </w:rPr>
        <w:fldChar w:fldCharType="begin"/>
      </w:r>
      <w:r>
        <w:rPr>
          <w:color w:val="auto"/>
          <w:highlight w:val="none"/>
        </w:rPr>
        <w:instrText xml:space="preserve"> PAGEREF _Toc20091 \h </w:instrText>
      </w:r>
      <w:r>
        <w:rPr>
          <w:color w:val="auto"/>
          <w:highlight w:val="none"/>
        </w:rPr>
        <w:fldChar w:fldCharType="separate"/>
      </w:r>
      <w:r>
        <w:rPr>
          <w:color w:val="auto"/>
          <w:highlight w:val="none"/>
        </w:rPr>
        <w:t>17</w:t>
      </w:r>
      <w:r>
        <w:rPr>
          <w:color w:val="auto"/>
          <w:highlight w:val="none"/>
        </w:rPr>
        <w:fldChar w:fldCharType="end"/>
      </w:r>
      <w:r>
        <w:rPr>
          <w:rFonts w:hint="default"/>
          <w:color w:val="auto"/>
          <w:highlight w:val="none"/>
          <w:lang w:val="en-US" w:eastAsia="zh-CN"/>
        </w:rPr>
        <w:fldChar w:fldCharType="end"/>
      </w:r>
    </w:p>
    <w:p>
      <w:pPr>
        <w:pStyle w:val="15"/>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_Toc23949 </w:instrText>
      </w:r>
      <w:r>
        <w:rPr>
          <w:rFonts w:hint="default"/>
          <w:color w:val="auto"/>
          <w:highlight w:val="none"/>
          <w:lang w:val="en-US" w:eastAsia="zh-CN"/>
        </w:rPr>
        <w:fldChar w:fldCharType="separate"/>
      </w:r>
      <w:r>
        <w:rPr>
          <w:color w:val="auto"/>
          <w:highlight w:val="none"/>
        </w:rPr>
        <w:t>3 重点部位水土流失动态监测</w:t>
      </w:r>
      <w:r>
        <w:rPr>
          <w:color w:val="auto"/>
          <w:highlight w:val="none"/>
        </w:rPr>
        <w:tab/>
      </w:r>
      <w:r>
        <w:rPr>
          <w:color w:val="auto"/>
          <w:highlight w:val="none"/>
        </w:rPr>
        <w:fldChar w:fldCharType="begin"/>
      </w:r>
      <w:r>
        <w:rPr>
          <w:color w:val="auto"/>
          <w:highlight w:val="none"/>
        </w:rPr>
        <w:instrText xml:space="preserve"> PAGEREF _Toc23949 \h </w:instrText>
      </w:r>
      <w:r>
        <w:rPr>
          <w:color w:val="auto"/>
          <w:highlight w:val="none"/>
        </w:rPr>
        <w:fldChar w:fldCharType="separate"/>
      </w:r>
      <w:r>
        <w:rPr>
          <w:color w:val="auto"/>
          <w:highlight w:val="none"/>
        </w:rPr>
        <w:t>18</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_Toc17010 </w:instrText>
      </w:r>
      <w:r>
        <w:rPr>
          <w:rFonts w:hint="default"/>
          <w:color w:val="auto"/>
          <w:highlight w:val="none"/>
          <w:lang w:val="en-US" w:eastAsia="zh-CN"/>
        </w:rPr>
        <w:fldChar w:fldCharType="separate"/>
      </w:r>
      <w:r>
        <w:rPr>
          <w:color w:val="auto"/>
          <w:highlight w:val="none"/>
        </w:rPr>
        <w:t>3.1 防治责任范围监测</w:t>
      </w:r>
      <w:r>
        <w:rPr>
          <w:color w:val="auto"/>
          <w:highlight w:val="none"/>
        </w:rPr>
        <w:tab/>
      </w:r>
      <w:r>
        <w:rPr>
          <w:color w:val="auto"/>
          <w:highlight w:val="none"/>
        </w:rPr>
        <w:fldChar w:fldCharType="begin"/>
      </w:r>
      <w:r>
        <w:rPr>
          <w:color w:val="auto"/>
          <w:highlight w:val="none"/>
        </w:rPr>
        <w:instrText xml:space="preserve"> PAGEREF _Toc17010 \h </w:instrText>
      </w:r>
      <w:r>
        <w:rPr>
          <w:color w:val="auto"/>
          <w:highlight w:val="none"/>
        </w:rPr>
        <w:fldChar w:fldCharType="separate"/>
      </w:r>
      <w:r>
        <w:rPr>
          <w:color w:val="auto"/>
          <w:highlight w:val="none"/>
        </w:rPr>
        <w:t>18</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_Toc11107 </w:instrText>
      </w:r>
      <w:r>
        <w:rPr>
          <w:rFonts w:hint="default"/>
          <w:color w:val="auto"/>
          <w:highlight w:val="none"/>
          <w:lang w:val="en-US" w:eastAsia="zh-CN"/>
        </w:rPr>
        <w:fldChar w:fldCharType="separate"/>
      </w:r>
      <w:r>
        <w:rPr>
          <w:color w:val="auto"/>
          <w:highlight w:val="none"/>
        </w:rPr>
        <w:t>3.1.1 水土保持防治责任范围</w:t>
      </w:r>
      <w:r>
        <w:rPr>
          <w:color w:val="auto"/>
          <w:highlight w:val="none"/>
        </w:rPr>
        <w:tab/>
      </w:r>
      <w:r>
        <w:rPr>
          <w:color w:val="auto"/>
          <w:highlight w:val="none"/>
        </w:rPr>
        <w:fldChar w:fldCharType="begin"/>
      </w:r>
      <w:r>
        <w:rPr>
          <w:color w:val="auto"/>
          <w:highlight w:val="none"/>
        </w:rPr>
        <w:instrText xml:space="preserve"> PAGEREF _Toc11107 \h </w:instrText>
      </w:r>
      <w:r>
        <w:rPr>
          <w:color w:val="auto"/>
          <w:highlight w:val="none"/>
        </w:rPr>
        <w:fldChar w:fldCharType="separate"/>
      </w:r>
      <w:r>
        <w:rPr>
          <w:color w:val="auto"/>
          <w:highlight w:val="none"/>
        </w:rPr>
        <w:t>18</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_Toc32737 </w:instrText>
      </w:r>
      <w:r>
        <w:rPr>
          <w:rFonts w:hint="default"/>
          <w:color w:val="auto"/>
          <w:highlight w:val="none"/>
          <w:lang w:val="en-US" w:eastAsia="zh-CN"/>
        </w:rPr>
        <w:fldChar w:fldCharType="separate"/>
      </w:r>
      <w:r>
        <w:rPr>
          <w:color w:val="auto"/>
          <w:highlight w:val="none"/>
        </w:rPr>
        <w:t>3.1.2 建设期扰动土地面积</w:t>
      </w:r>
      <w:r>
        <w:rPr>
          <w:color w:val="auto"/>
          <w:highlight w:val="none"/>
        </w:rPr>
        <w:tab/>
      </w:r>
      <w:r>
        <w:rPr>
          <w:color w:val="auto"/>
          <w:highlight w:val="none"/>
        </w:rPr>
        <w:fldChar w:fldCharType="begin"/>
      </w:r>
      <w:r>
        <w:rPr>
          <w:color w:val="auto"/>
          <w:highlight w:val="none"/>
        </w:rPr>
        <w:instrText xml:space="preserve"> PAGEREF _Toc32737 \h </w:instrText>
      </w:r>
      <w:r>
        <w:rPr>
          <w:color w:val="auto"/>
          <w:highlight w:val="none"/>
        </w:rPr>
        <w:fldChar w:fldCharType="separate"/>
      </w:r>
      <w:r>
        <w:rPr>
          <w:color w:val="auto"/>
          <w:highlight w:val="none"/>
        </w:rPr>
        <w:t>18</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_Toc4582 </w:instrText>
      </w:r>
      <w:r>
        <w:rPr>
          <w:rFonts w:hint="default"/>
          <w:color w:val="auto"/>
          <w:highlight w:val="none"/>
          <w:lang w:val="en-US" w:eastAsia="zh-CN"/>
        </w:rPr>
        <w:fldChar w:fldCharType="separate"/>
      </w:r>
      <w:r>
        <w:rPr>
          <w:color w:val="auto"/>
          <w:highlight w:val="none"/>
        </w:rPr>
        <w:t>3.2 取土(石、料)监测结果</w:t>
      </w:r>
      <w:r>
        <w:rPr>
          <w:color w:val="auto"/>
          <w:highlight w:val="none"/>
        </w:rPr>
        <w:tab/>
      </w:r>
      <w:r>
        <w:rPr>
          <w:color w:val="auto"/>
          <w:highlight w:val="none"/>
        </w:rPr>
        <w:fldChar w:fldCharType="begin"/>
      </w:r>
      <w:r>
        <w:rPr>
          <w:color w:val="auto"/>
          <w:highlight w:val="none"/>
        </w:rPr>
        <w:instrText xml:space="preserve"> PAGEREF _Toc4582 \h </w:instrText>
      </w:r>
      <w:r>
        <w:rPr>
          <w:color w:val="auto"/>
          <w:highlight w:val="none"/>
        </w:rPr>
        <w:fldChar w:fldCharType="separate"/>
      </w:r>
      <w:r>
        <w:rPr>
          <w:color w:val="auto"/>
          <w:highlight w:val="none"/>
        </w:rPr>
        <w:t>19</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_Toc13579 </w:instrText>
      </w:r>
      <w:r>
        <w:rPr>
          <w:rFonts w:hint="default"/>
          <w:color w:val="auto"/>
          <w:highlight w:val="none"/>
          <w:lang w:val="en-US" w:eastAsia="zh-CN"/>
        </w:rPr>
        <w:fldChar w:fldCharType="separate"/>
      </w:r>
      <w:r>
        <w:rPr>
          <w:color w:val="auto"/>
          <w:highlight w:val="none"/>
        </w:rPr>
        <w:t>3.3 弃土(石、渣)监测结果</w:t>
      </w:r>
      <w:r>
        <w:rPr>
          <w:color w:val="auto"/>
          <w:highlight w:val="none"/>
        </w:rPr>
        <w:tab/>
      </w:r>
      <w:r>
        <w:rPr>
          <w:color w:val="auto"/>
          <w:highlight w:val="none"/>
        </w:rPr>
        <w:fldChar w:fldCharType="begin"/>
      </w:r>
      <w:r>
        <w:rPr>
          <w:color w:val="auto"/>
          <w:highlight w:val="none"/>
        </w:rPr>
        <w:instrText xml:space="preserve"> PAGEREF _Toc13579 \h </w:instrText>
      </w:r>
      <w:r>
        <w:rPr>
          <w:color w:val="auto"/>
          <w:highlight w:val="none"/>
        </w:rPr>
        <w:fldChar w:fldCharType="separate"/>
      </w:r>
      <w:r>
        <w:rPr>
          <w:color w:val="auto"/>
          <w:highlight w:val="none"/>
        </w:rPr>
        <w:t>19</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_Toc26860 </w:instrText>
      </w:r>
      <w:r>
        <w:rPr>
          <w:rFonts w:hint="default"/>
          <w:color w:val="auto"/>
          <w:highlight w:val="none"/>
          <w:lang w:val="en-US" w:eastAsia="zh-CN"/>
        </w:rPr>
        <w:fldChar w:fldCharType="separate"/>
      </w:r>
      <w:r>
        <w:rPr>
          <w:color w:val="auto"/>
          <w:highlight w:val="none"/>
        </w:rPr>
        <w:t>3.4 土石方流向情况监测结果</w:t>
      </w:r>
      <w:r>
        <w:rPr>
          <w:color w:val="auto"/>
          <w:highlight w:val="none"/>
        </w:rPr>
        <w:tab/>
      </w:r>
      <w:r>
        <w:rPr>
          <w:color w:val="auto"/>
          <w:highlight w:val="none"/>
        </w:rPr>
        <w:fldChar w:fldCharType="begin"/>
      </w:r>
      <w:r>
        <w:rPr>
          <w:color w:val="auto"/>
          <w:highlight w:val="none"/>
        </w:rPr>
        <w:instrText xml:space="preserve"> PAGEREF _Toc26860 \h </w:instrText>
      </w:r>
      <w:r>
        <w:rPr>
          <w:color w:val="auto"/>
          <w:highlight w:val="none"/>
        </w:rPr>
        <w:fldChar w:fldCharType="separate"/>
      </w:r>
      <w:r>
        <w:rPr>
          <w:color w:val="auto"/>
          <w:highlight w:val="none"/>
        </w:rPr>
        <w:t>19</w:t>
      </w:r>
      <w:r>
        <w:rPr>
          <w:color w:val="auto"/>
          <w:highlight w:val="none"/>
        </w:rPr>
        <w:fldChar w:fldCharType="end"/>
      </w:r>
      <w:r>
        <w:rPr>
          <w:rFonts w:hint="default"/>
          <w:color w:val="auto"/>
          <w:highlight w:val="none"/>
          <w:lang w:val="en-US" w:eastAsia="zh-CN"/>
        </w:rPr>
        <w:fldChar w:fldCharType="end"/>
      </w:r>
    </w:p>
    <w:p>
      <w:pPr>
        <w:pStyle w:val="15"/>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_Toc14988 </w:instrText>
      </w:r>
      <w:r>
        <w:rPr>
          <w:rFonts w:hint="default"/>
          <w:color w:val="auto"/>
          <w:highlight w:val="none"/>
          <w:lang w:val="en-US" w:eastAsia="zh-CN"/>
        </w:rPr>
        <w:fldChar w:fldCharType="separate"/>
      </w:r>
      <w:r>
        <w:rPr>
          <w:color w:val="auto"/>
          <w:highlight w:val="none"/>
        </w:rPr>
        <w:t>4 水土流失防治措施监测结果</w:t>
      </w:r>
      <w:r>
        <w:rPr>
          <w:color w:val="auto"/>
          <w:highlight w:val="none"/>
        </w:rPr>
        <w:tab/>
      </w:r>
      <w:r>
        <w:rPr>
          <w:color w:val="auto"/>
          <w:highlight w:val="none"/>
        </w:rPr>
        <w:fldChar w:fldCharType="begin"/>
      </w:r>
      <w:r>
        <w:rPr>
          <w:color w:val="auto"/>
          <w:highlight w:val="none"/>
        </w:rPr>
        <w:instrText xml:space="preserve"> PAGEREF _Toc14988 \h </w:instrText>
      </w:r>
      <w:r>
        <w:rPr>
          <w:color w:val="auto"/>
          <w:highlight w:val="none"/>
        </w:rPr>
        <w:fldChar w:fldCharType="separate"/>
      </w:r>
      <w:r>
        <w:rPr>
          <w:color w:val="auto"/>
          <w:highlight w:val="none"/>
        </w:rPr>
        <w:t>21</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_Toc28246 </w:instrText>
      </w:r>
      <w:r>
        <w:rPr>
          <w:rFonts w:hint="default"/>
          <w:color w:val="auto"/>
          <w:highlight w:val="none"/>
          <w:lang w:val="en-US" w:eastAsia="zh-CN"/>
        </w:rPr>
        <w:fldChar w:fldCharType="separate"/>
      </w:r>
      <w:r>
        <w:rPr>
          <w:color w:val="auto"/>
          <w:highlight w:val="none"/>
        </w:rPr>
        <w:t>4.1 工程措施监测结果</w:t>
      </w:r>
      <w:r>
        <w:rPr>
          <w:color w:val="auto"/>
          <w:highlight w:val="none"/>
        </w:rPr>
        <w:tab/>
      </w:r>
      <w:r>
        <w:rPr>
          <w:color w:val="auto"/>
          <w:highlight w:val="none"/>
        </w:rPr>
        <w:fldChar w:fldCharType="begin"/>
      </w:r>
      <w:r>
        <w:rPr>
          <w:color w:val="auto"/>
          <w:highlight w:val="none"/>
        </w:rPr>
        <w:instrText xml:space="preserve"> PAGEREF _Toc28246 \h </w:instrText>
      </w:r>
      <w:r>
        <w:rPr>
          <w:color w:val="auto"/>
          <w:highlight w:val="none"/>
        </w:rPr>
        <w:fldChar w:fldCharType="separate"/>
      </w:r>
      <w:r>
        <w:rPr>
          <w:color w:val="auto"/>
          <w:highlight w:val="none"/>
        </w:rPr>
        <w:t>21</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_Toc18340 </w:instrText>
      </w:r>
      <w:r>
        <w:rPr>
          <w:rFonts w:hint="default"/>
          <w:color w:val="auto"/>
          <w:highlight w:val="none"/>
          <w:lang w:val="en-US" w:eastAsia="zh-CN"/>
        </w:rPr>
        <w:fldChar w:fldCharType="separate"/>
      </w:r>
      <w:r>
        <w:rPr>
          <w:color w:val="auto"/>
          <w:highlight w:val="none"/>
        </w:rPr>
        <w:t>4.1.1 工程措施实施情况</w:t>
      </w:r>
      <w:r>
        <w:rPr>
          <w:color w:val="auto"/>
          <w:highlight w:val="none"/>
        </w:rPr>
        <w:tab/>
      </w:r>
      <w:r>
        <w:rPr>
          <w:color w:val="auto"/>
          <w:highlight w:val="none"/>
        </w:rPr>
        <w:fldChar w:fldCharType="begin"/>
      </w:r>
      <w:r>
        <w:rPr>
          <w:color w:val="auto"/>
          <w:highlight w:val="none"/>
        </w:rPr>
        <w:instrText xml:space="preserve"> PAGEREF _Toc18340 \h </w:instrText>
      </w:r>
      <w:r>
        <w:rPr>
          <w:color w:val="auto"/>
          <w:highlight w:val="none"/>
        </w:rPr>
        <w:fldChar w:fldCharType="separate"/>
      </w:r>
      <w:r>
        <w:rPr>
          <w:color w:val="auto"/>
          <w:highlight w:val="none"/>
        </w:rPr>
        <w:t>21</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_Toc20904 </w:instrText>
      </w:r>
      <w:r>
        <w:rPr>
          <w:rFonts w:hint="default"/>
          <w:color w:val="auto"/>
          <w:highlight w:val="none"/>
          <w:lang w:val="en-US" w:eastAsia="zh-CN"/>
        </w:rPr>
        <w:fldChar w:fldCharType="separate"/>
      </w:r>
      <w:r>
        <w:rPr>
          <w:rFonts w:ascii="Times New Roman" w:hAnsi="Times New Roman" w:eastAsia="宋体" w:cs="Times New Roman"/>
          <w:color w:val="auto"/>
          <w:highlight w:val="none"/>
        </w:rPr>
        <w:t xml:space="preserve">4.2 </w:t>
      </w:r>
      <w:r>
        <w:rPr>
          <w:rFonts w:hint="eastAsia"/>
          <w:color w:val="auto"/>
          <w:highlight w:val="none"/>
        </w:rPr>
        <w:t>植物措施监测结果</w:t>
      </w:r>
      <w:r>
        <w:rPr>
          <w:color w:val="auto"/>
          <w:highlight w:val="none"/>
        </w:rPr>
        <w:tab/>
      </w:r>
      <w:r>
        <w:rPr>
          <w:color w:val="auto"/>
          <w:highlight w:val="none"/>
        </w:rPr>
        <w:fldChar w:fldCharType="begin"/>
      </w:r>
      <w:r>
        <w:rPr>
          <w:color w:val="auto"/>
          <w:highlight w:val="none"/>
        </w:rPr>
        <w:instrText xml:space="preserve"> PAGEREF _Toc20904 \h </w:instrText>
      </w:r>
      <w:r>
        <w:rPr>
          <w:color w:val="auto"/>
          <w:highlight w:val="none"/>
        </w:rPr>
        <w:fldChar w:fldCharType="separate"/>
      </w:r>
      <w:r>
        <w:rPr>
          <w:color w:val="auto"/>
          <w:highlight w:val="none"/>
        </w:rPr>
        <w:t>21</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_Toc22025 </w:instrText>
      </w:r>
      <w:r>
        <w:rPr>
          <w:rFonts w:hint="default"/>
          <w:color w:val="auto"/>
          <w:highlight w:val="none"/>
          <w:lang w:val="en-US" w:eastAsia="zh-CN"/>
        </w:rPr>
        <w:fldChar w:fldCharType="separate"/>
      </w:r>
      <w:r>
        <w:rPr>
          <w:color w:val="auto"/>
          <w:highlight w:val="none"/>
        </w:rPr>
        <w:t xml:space="preserve">4.3 </w:t>
      </w:r>
      <w:r>
        <w:rPr>
          <w:rFonts w:hint="eastAsia"/>
          <w:color w:val="auto"/>
          <w:highlight w:val="none"/>
        </w:rPr>
        <w:t>临时防治措施监测结果</w:t>
      </w:r>
      <w:r>
        <w:rPr>
          <w:color w:val="auto"/>
          <w:highlight w:val="none"/>
        </w:rPr>
        <w:tab/>
      </w:r>
      <w:r>
        <w:rPr>
          <w:color w:val="auto"/>
          <w:highlight w:val="none"/>
        </w:rPr>
        <w:fldChar w:fldCharType="begin"/>
      </w:r>
      <w:r>
        <w:rPr>
          <w:color w:val="auto"/>
          <w:highlight w:val="none"/>
        </w:rPr>
        <w:instrText xml:space="preserve"> PAGEREF _Toc22025 \h </w:instrText>
      </w:r>
      <w:r>
        <w:rPr>
          <w:color w:val="auto"/>
          <w:highlight w:val="none"/>
        </w:rPr>
        <w:fldChar w:fldCharType="separate"/>
      </w:r>
      <w:r>
        <w:rPr>
          <w:color w:val="auto"/>
          <w:highlight w:val="none"/>
        </w:rPr>
        <w:t>22</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_Toc29962 </w:instrText>
      </w:r>
      <w:r>
        <w:rPr>
          <w:rFonts w:hint="default"/>
          <w:color w:val="auto"/>
          <w:highlight w:val="none"/>
          <w:lang w:val="en-US" w:eastAsia="zh-CN"/>
        </w:rPr>
        <w:fldChar w:fldCharType="separate"/>
      </w:r>
      <w:r>
        <w:rPr>
          <w:color w:val="auto"/>
          <w:highlight w:val="none"/>
        </w:rPr>
        <w:t xml:space="preserve">4.3.1 </w:t>
      </w:r>
      <w:r>
        <w:rPr>
          <w:rFonts w:hint="eastAsia"/>
          <w:color w:val="auto"/>
          <w:highlight w:val="none"/>
        </w:rPr>
        <w:t>临时措施实施情况</w:t>
      </w:r>
      <w:r>
        <w:rPr>
          <w:color w:val="auto"/>
          <w:highlight w:val="none"/>
        </w:rPr>
        <w:tab/>
      </w:r>
      <w:r>
        <w:rPr>
          <w:color w:val="auto"/>
          <w:highlight w:val="none"/>
        </w:rPr>
        <w:fldChar w:fldCharType="begin"/>
      </w:r>
      <w:r>
        <w:rPr>
          <w:color w:val="auto"/>
          <w:highlight w:val="none"/>
        </w:rPr>
        <w:instrText xml:space="preserve"> PAGEREF _Toc29962 \h </w:instrText>
      </w:r>
      <w:r>
        <w:rPr>
          <w:color w:val="auto"/>
          <w:highlight w:val="none"/>
        </w:rPr>
        <w:fldChar w:fldCharType="separate"/>
      </w:r>
      <w:r>
        <w:rPr>
          <w:color w:val="auto"/>
          <w:highlight w:val="none"/>
        </w:rPr>
        <w:t>22</w:t>
      </w:r>
      <w:r>
        <w:rPr>
          <w:color w:val="auto"/>
          <w:highlight w:val="none"/>
        </w:rPr>
        <w:fldChar w:fldCharType="end"/>
      </w:r>
      <w:r>
        <w:rPr>
          <w:rFonts w:hint="default"/>
          <w:color w:val="auto"/>
          <w:highlight w:val="none"/>
          <w:lang w:val="en-US" w:eastAsia="zh-CN"/>
        </w:rPr>
        <w:fldChar w:fldCharType="end"/>
      </w:r>
    </w:p>
    <w:p>
      <w:pPr>
        <w:pStyle w:val="15"/>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_Toc6470 </w:instrText>
      </w:r>
      <w:r>
        <w:rPr>
          <w:rFonts w:hint="default"/>
          <w:color w:val="auto"/>
          <w:highlight w:val="none"/>
          <w:lang w:val="en-US" w:eastAsia="zh-CN"/>
        </w:rPr>
        <w:fldChar w:fldCharType="separate"/>
      </w:r>
      <w:r>
        <w:rPr>
          <w:color w:val="auto"/>
          <w:highlight w:val="none"/>
        </w:rPr>
        <w:t xml:space="preserve">5 </w:t>
      </w:r>
      <w:r>
        <w:rPr>
          <w:rFonts w:hint="eastAsia"/>
          <w:color w:val="auto"/>
          <w:highlight w:val="none"/>
        </w:rPr>
        <w:t>土壤流失情况监测</w:t>
      </w:r>
      <w:r>
        <w:rPr>
          <w:color w:val="auto"/>
          <w:highlight w:val="none"/>
        </w:rPr>
        <w:tab/>
      </w:r>
      <w:r>
        <w:rPr>
          <w:color w:val="auto"/>
          <w:highlight w:val="none"/>
        </w:rPr>
        <w:fldChar w:fldCharType="begin"/>
      </w:r>
      <w:r>
        <w:rPr>
          <w:color w:val="auto"/>
          <w:highlight w:val="none"/>
        </w:rPr>
        <w:instrText xml:space="preserve"> PAGEREF _Toc6470 \h </w:instrText>
      </w:r>
      <w:r>
        <w:rPr>
          <w:color w:val="auto"/>
          <w:highlight w:val="none"/>
        </w:rPr>
        <w:fldChar w:fldCharType="separate"/>
      </w:r>
      <w:r>
        <w:rPr>
          <w:color w:val="auto"/>
          <w:highlight w:val="none"/>
        </w:rPr>
        <w:t>24</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_Toc22469 </w:instrText>
      </w:r>
      <w:r>
        <w:rPr>
          <w:rFonts w:hint="default"/>
          <w:color w:val="auto"/>
          <w:highlight w:val="none"/>
          <w:lang w:val="en-US" w:eastAsia="zh-CN"/>
        </w:rPr>
        <w:fldChar w:fldCharType="separate"/>
      </w:r>
      <w:r>
        <w:rPr>
          <w:color w:val="auto"/>
          <w:highlight w:val="none"/>
        </w:rPr>
        <w:t xml:space="preserve">5.1 </w:t>
      </w:r>
      <w:r>
        <w:rPr>
          <w:rFonts w:hint="eastAsia"/>
          <w:color w:val="auto"/>
          <w:highlight w:val="none"/>
        </w:rPr>
        <w:t>水土流失面积</w:t>
      </w:r>
      <w:r>
        <w:rPr>
          <w:color w:val="auto"/>
          <w:highlight w:val="none"/>
        </w:rPr>
        <w:tab/>
      </w:r>
      <w:r>
        <w:rPr>
          <w:color w:val="auto"/>
          <w:highlight w:val="none"/>
        </w:rPr>
        <w:fldChar w:fldCharType="begin"/>
      </w:r>
      <w:r>
        <w:rPr>
          <w:color w:val="auto"/>
          <w:highlight w:val="none"/>
        </w:rPr>
        <w:instrText xml:space="preserve"> PAGEREF _Toc22469 \h </w:instrText>
      </w:r>
      <w:r>
        <w:rPr>
          <w:color w:val="auto"/>
          <w:highlight w:val="none"/>
        </w:rPr>
        <w:fldChar w:fldCharType="separate"/>
      </w:r>
      <w:r>
        <w:rPr>
          <w:color w:val="auto"/>
          <w:highlight w:val="none"/>
        </w:rPr>
        <w:t>24</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_Toc19937 </w:instrText>
      </w:r>
      <w:r>
        <w:rPr>
          <w:rFonts w:hint="default"/>
          <w:color w:val="auto"/>
          <w:highlight w:val="none"/>
          <w:lang w:val="en-US" w:eastAsia="zh-CN"/>
        </w:rPr>
        <w:fldChar w:fldCharType="separate"/>
      </w:r>
      <w:r>
        <w:rPr>
          <w:color w:val="auto"/>
          <w:highlight w:val="none"/>
        </w:rPr>
        <w:t xml:space="preserve">5.2 </w:t>
      </w:r>
      <w:r>
        <w:rPr>
          <w:rFonts w:hint="eastAsia"/>
          <w:color w:val="auto"/>
          <w:highlight w:val="none"/>
        </w:rPr>
        <w:t>土壤流失量</w:t>
      </w:r>
      <w:r>
        <w:rPr>
          <w:color w:val="auto"/>
          <w:highlight w:val="none"/>
        </w:rPr>
        <w:tab/>
      </w:r>
      <w:r>
        <w:rPr>
          <w:color w:val="auto"/>
          <w:highlight w:val="none"/>
        </w:rPr>
        <w:fldChar w:fldCharType="begin"/>
      </w:r>
      <w:r>
        <w:rPr>
          <w:color w:val="auto"/>
          <w:highlight w:val="none"/>
        </w:rPr>
        <w:instrText xml:space="preserve"> PAGEREF _Toc19937 \h </w:instrText>
      </w:r>
      <w:r>
        <w:rPr>
          <w:color w:val="auto"/>
          <w:highlight w:val="none"/>
        </w:rPr>
        <w:fldChar w:fldCharType="separate"/>
      </w:r>
      <w:r>
        <w:rPr>
          <w:color w:val="auto"/>
          <w:highlight w:val="none"/>
        </w:rPr>
        <w:t>24</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_Toc32057 </w:instrText>
      </w:r>
      <w:r>
        <w:rPr>
          <w:rFonts w:hint="default"/>
          <w:color w:val="auto"/>
          <w:highlight w:val="none"/>
          <w:lang w:val="en-US" w:eastAsia="zh-CN"/>
        </w:rPr>
        <w:fldChar w:fldCharType="separate"/>
      </w:r>
      <w:r>
        <w:rPr>
          <w:color w:val="auto"/>
          <w:highlight w:val="none"/>
        </w:rPr>
        <w:t xml:space="preserve">5.2.1 </w:t>
      </w:r>
      <w:r>
        <w:rPr>
          <w:rFonts w:hint="eastAsia"/>
          <w:color w:val="auto"/>
          <w:highlight w:val="none"/>
        </w:rPr>
        <w:t>土壤侵蚀模数估测</w:t>
      </w:r>
      <w:r>
        <w:rPr>
          <w:color w:val="auto"/>
          <w:highlight w:val="none"/>
        </w:rPr>
        <w:tab/>
      </w:r>
      <w:r>
        <w:rPr>
          <w:color w:val="auto"/>
          <w:highlight w:val="none"/>
        </w:rPr>
        <w:fldChar w:fldCharType="begin"/>
      </w:r>
      <w:r>
        <w:rPr>
          <w:color w:val="auto"/>
          <w:highlight w:val="none"/>
        </w:rPr>
        <w:instrText xml:space="preserve"> PAGEREF _Toc32057 \h </w:instrText>
      </w:r>
      <w:r>
        <w:rPr>
          <w:color w:val="auto"/>
          <w:highlight w:val="none"/>
        </w:rPr>
        <w:fldChar w:fldCharType="separate"/>
      </w:r>
      <w:r>
        <w:rPr>
          <w:color w:val="auto"/>
          <w:highlight w:val="none"/>
        </w:rPr>
        <w:t>24</w:t>
      </w:r>
      <w:r>
        <w:rPr>
          <w:color w:val="auto"/>
          <w:highlight w:val="none"/>
        </w:rPr>
        <w:fldChar w:fldCharType="end"/>
      </w:r>
      <w:r>
        <w:rPr>
          <w:rFonts w:hint="default"/>
          <w:color w:val="auto"/>
          <w:highlight w:val="none"/>
          <w:lang w:val="en-US" w:eastAsia="zh-CN"/>
        </w:rPr>
        <w:fldChar w:fldCharType="end"/>
      </w:r>
    </w:p>
    <w:p>
      <w:pPr>
        <w:pStyle w:val="10"/>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_Toc1758 </w:instrText>
      </w:r>
      <w:r>
        <w:rPr>
          <w:rFonts w:hint="default"/>
          <w:color w:val="auto"/>
          <w:highlight w:val="none"/>
          <w:lang w:val="en-US" w:eastAsia="zh-CN"/>
        </w:rPr>
        <w:fldChar w:fldCharType="separate"/>
      </w:r>
      <w:r>
        <w:rPr>
          <w:color w:val="auto"/>
          <w:highlight w:val="none"/>
        </w:rPr>
        <w:t xml:space="preserve">5.2.2 </w:t>
      </w:r>
      <w:r>
        <w:rPr>
          <w:rFonts w:hint="eastAsia"/>
          <w:color w:val="auto"/>
          <w:highlight w:val="none"/>
        </w:rPr>
        <w:t>土壤流失量监测结果</w:t>
      </w:r>
      <w:r>
        <w:rPr>
          <w:color w:val="auto"/>
          <w:highlight w:val="none"/>
        </w:rPr>
        <w:tab/>
      </w:r>
      <w:r>
        <w:rPr>
          <w:color w:val="auto"/>
          <w:highlight w:val="none"/>
        </w:rPr>
        <w:fldChar w:fldCharType="begin"/>
      </w:r>
      <w:r>
        <w:rPr>
          <w:color w:val="auto"/>
          <w:highlight w:val="none"/>
        </w:rPr>
        <w:instrText xml:space="preserve"> PAGEREF _Toc1758 \h </w:instrText>
      </w:r>
      <w:r>
        <w:rPr>
          <w:color w:val="auto"/>
          <w:highlight w:val="none"/>
        </w:rPr>
        <w:fldChar w:fldCharType="separate"/>
      </w:r>
      <w:r>
        <w:rPr>
          <w:color w:val="auto"/>
          <w:highlight w:val="none"/>
        </w:rPr>
        <w:t>25</w:t>
      </w:r>
      <w:r>
        <w:rPr>
          <w:color w:val="auto"/>
          <w:highlight w:val="none"/>
        </w:rPr>
        <w:fldChar w:fldCharType="end"/>
      </w:r>
      <w:r>
        <w:rPr>
          <w:rFonts w:hint="default"/>
          <w:color w:val="auto"/>
          <w:highlight w:val="none"/>
          <w:lang w:val="en-US" w:eastAsia="zh-CN"/>
        </w:rPr>
        <w:fldChar w:fldCharType="end"/>
      </w:r>
    </w:p>
    <w:p>
      <w:pPr>
        <w:pStyle w:val="15"/>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_Toc31957 </w:instrText>
      </w:r>
      <w:r>
        <w:rPr>
          <w:rFonts w:hint="default"/>
          <w:color w:val="auto"/>
          <w:highlight w:val="none"/>
          <w:lang w:val="en-US" w:eastAsia="zh-CN"/>
        </w:rPr>
        <w:fldChar w:fldCharType="separate"/>
      </w:r>
      <w:r>
        <w:rPr>
          <w:color w:val="auto"/>
          <w:highlight w:val="none"/>
        </w:rPr>
        <w:t xml:space="preserve">6 </w:t>
      </w:r>
      <w:r>
        <w:rPr>
          <w:rFonts w:hint="eastAsia"/>
          <w:color w:val="auto"/>
          <w:highlight w:val="none"/>
        </w:rPr>
        <w:t xml:space="preserve">水土流失防治效果监测结果 </w:t>
      </w:r>
      <w:r>
        <w:rPr>
          <w:color w:val="auto"/>
          <w:highlight w:val="none"/>
        </w:rPr>
        <w:tab/>
      </w:r>
      <w:r>
        <w:rPr>
          <w:color w:val="auto"/>
          <w:highlight w:val="none"/>
        </w:rPr>
        <w:fldChar w:fldCharType="begin"/>
      </w:r>
      <w:r>
        <w:rPr>
          <w:color w:val="auto"/>
          <w:highlight w:val="none"/>
        </w:rPr>
        <w:instrText xml:space="preserve"> PAGEREF _Toc31957 \h </w:instrText>
      </w:r>
      <w:r>
        <w:rPr>
          <w:color w:val="auto"/>
          <w:highlight w:val="none"/>
        </w:rPr>
        <w:fldChar w:fldCharType="separate"/>
      </w:r>
      <w:r>
        <w:rPr>
          <w:color w:val="auto"/>
          <w:highlight w:val="none"/>
        </w:rPr>
        <w:t>27</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_Toc5226 </w:instrText>
      </w:r>
      <w:r>
        <w:rPr>
          <w:rFonts w:hint="default"/>
          <w:color w:val="auto"/>
          <w:highlight w:val="none"/>
          <w:lang w:val="en-US" w:eastAsia="zh-CN"/>
        </w:rPr>
        <w:fldChar w:fldCharType="separate"/>
      </w:r>
      <w:r>
        <w:rPr>
          <w:color w:val="auto"/>
          <w:highlight w:val="none"/>
        </w:rPr>
        <w:t xml:space="preserve">6.1 </w:t>
      </w:r>
      <w:r>
        <w:rPr>
          <w:rFonts w:hint="eastAsia"/>
          <w:color w:val="auto"/>
          <w:highlight w:val="none"/>
        </w:rPr>
        <w:t>扰动土地整治率</w:t>
      </w:r>
      <w:r>
        <w:rPr>
          <w:color w:val="auto"/>
          <w:highlight w:val="none"/>
        </w:rPr>
        <w:tab/>
      </w:r>
      <w:r>
        <w:rPr>
          <w:color w:val="auto"/>
          <w:highlight w:val="none"/>
        </w:rPr>
        <w:fldChar w:fldCharType="begin"/>
      </w:r>
      <w:r>
        <w:rPr>
          <w:color w:val="auto"/>
          <w:highlight w:val="none"/>
        </w:rPr>
        <w:instrText xml:space="preserve"> PAGEREF _Toc5226 \h </w:instrText>
      </w:r>
      <w:r>
        <w:rPr>
          <w:color w:val="auto"/>
          <w:highlight w:val="none"/>
        </w:rPr>
        <w:fldChar w:fldCharType="separate"/>
      </w:r>
      <w:r>
        <w:rPr>
          <w:color w:val="auto"/>
          <w:highlight w:val="none"/>
        </w:rPr>
        <w:t>27</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_Toc2729 </w:instrText>
      </w:r>
      <w:r>
        <w:rPr>
          <w:rFonts w:hint="default"/>
          <w:color w:val="auto"/>
          <w:highlight w:val="none"/>
          <w:lang w:val="en-US" w:eastAsia="zh-CN"/>
        </w:rPr>
        <w:fldChar w:fldCharType="separate"/>
      </w:r>
      <w:r>
        <w:rPr>
          <w:color w:val="auto"/>
          <w:highlight w:val="none"/>
        </w:rPr>
        <w:t xml:space="preserve">6.2 </w:t>
      </w:r>
      <w:r>
        <w:rPr>
          <w:rFonts w:hint="eastAsia"/>
          <w:color w:val="auto"/>
          <w:highlight w:val="none"/>
        </w:rPr>
        <w:t>水土流失总治理程度</w:t>
      </w:r>
      <w:r>
        <w:rPr>
          <w:color w:val="auto"/>
          <w:highlight w:val="none"/>
        </w:rPr>
        <w:tab/>
      </w:r>
      <w:r>
        <w:rPr>
          <w:color w:val="auto"/>
          <w:highlight w:val="none"/>
        </w:rPr>
        <w:fldChar w:fldCharType="begin"/>
      </w:r>
      <w:r>
        <w:rPr>
          <w:color w:val="auto"/>
          <w:highlight w:val="none"/>
        </w:rPr>
        <w:instrText xml:space="preserve"> PAGEREF _Toc2729 \h </w:instrText>
      </w:r>
      <w:r>
        <w:rPr>
          <w:color w:val="auto"/>
          <w:highlight w:val="none"/>
        </w:rPr>
        <w:fldChar w:fldCharType="separate"/>
      </w:r>
      <w:r>
        <w:rPr>
          <w:color w:val="auto"/>
          <w:highlight w:val="none"/>
        </w:rPr>
        <w:t>27</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_Toc13478 </w:instrText>
      </w:r>
      <w:r>
        <w:rPr>
          <w:rFonts w:hint="default"/>
          <w:color w:val="auto"/>
          <w:highlight w:val="none"/>
          <w:lang w:val="en-US" w:eastAsia="zh-CN"/>
        </w:rPr>
        <w:fldChar w:fldCharType="separate"/>
      </w:r>
      <w:r>
        <w:rPr>
          <w:color w:val="auto"/>
          <w:highlight w:val="none"/>
        </w:rPr>
        <w:t xml:space="preserve">6.3 </w:t>
      </w:r>
      <w:r>
        <w:rPr>
          <w:rFonts w:hint="eastAsia"/>
          <w:color w:val="auto"/>
          <w:highlight w:val="none"/>
        </w:rPr>
        <w:t>拦渣率与弃渣利用情况</w:t>
      </w:r>
      <w:r>
        <w:rPr>
          <w:color w:val="auto"/>
          <w:highlight w:val="none"/>
        </w:rPr>
        <w:tab/>
      </w:r>
      <w:r>
        <w:rPr>
          <w:color w:val="auto"/>
          <w:highlight w:val="none"/>
        </w:rPr>
        <w:fldChar w:fldCharType="begin"/>
      </w:r>
      <w:r>
        <w:rPr>
          <w:color w:val="auto"/>
          <w:highlight w:val="none"/>
        </w:rPr>
        <w:instrText xml:space="preserve"> PAGEREF _Toc13478 \h </w:instrText>
      </w:r>
      <w:r>
        <w:rPr>
          <w:color w:val="auto"/>
          <w:highlight w:val="none"/>
        </w:rPr>
        <w:fldChar w:fldCharType="separate"/>
      </w:r>
      <w:r>
        <w:rPr>
          <w:color w:val="auto"/>
          <w:highlight w:val="none"/>
        </w:rPr>
        <w:t>27</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_Toc1397 </w:instrText>
      </w:r>
      <w:r>
        <w:rPr>
          <w:rFonts w:hint="default"/>
          <w:color w:val="auto"/>
          <w:highlight w:val="none"/>
          <w:lang w:val="en-US" w:eastAsia="zh-CN"/>
        </w:rPr>
        <w:fldChar w:fldCharType="separate"/>
      </w:r>
      <w:r>
        <w:rPr>
          <w:bCs/>
          <w:color w:val="auto"/>
          <w:highlight w:val="none"/>
        </w:rPr>
        <w:t xml:space="preserve">6.4 </w:t>
      </w:r>
      <w:r>
        <w:rPr>
          <w:rFonts w:hint="eastAsia"/>
          <w:bCs/>
          <w:color w:val="auto"/>
          <w:highlight w:val="none"/>
        </w:rPr>
        <w:t>土壤流失控制比</w:t>
      </w:r>
      <w:r>
        <w:rPr>
          <w:color w:val="auto"/>
          <w:highlight w:val="none"/>
        </w:rPr>
        <w:tab/>
      </w:r>
      <w:r>
        <w:rPr>
          <w:color w:val="auto"/>
          <w:highlight w:val="none"/>
        </w:rPr>
        <w:fldChar w:fldCharType="begin"/>
      </w:r>
      <w:r>
        <w:rPr>
          <w:color w:val="auto"/>
          <w:highlight w:val="none"/>
        </w:rPr>
        <w:instrText xml:space="preserve"> PAGEREF _Toc1397 \h </w:instrText>
      </w:r>
      <w:r>
        <w:rPr>
          <w:color w:val="auto"/>
          <w:highlight w:val="none"/>
        </w:rPr>
        <w:fldChar w:fldCharType="separate"/>
      </w:r>
      <w:r>
        <w:rPr>
          <w:color w:val="auto"/>
          <w:highlight w:val="none"/>
        </w:rPr>
        <w:t>28</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_Toc2019 </w:instrText>
      </w:r>
      <w:r>
        <w:rPr>
          <w:rFonts w:hint="default"/>
          <w:color w:val="auto"/>
          <w:highlight w:val="none"/>
          <w:lang w:val="en-US" w:eastAsia="zh-CN"/>
        </w:rPr>
        <w:fldChar w:fldCharType="separate"/>
      </w:r>
      <w:r>
        <w:rPr>
          <w:color w:val="auto"/>
          <w:highlight w:val="none"/>
        </w:rPr>
        <w:t xml:space="preserve">6.5 </w:t>
      </w:r>
      <w:r>
        <w:rPr>
          <w:rFonts w:hint="eastAsia"/>
          <w:color w:val="auto"/>
          <w:highlight w:val="none"/>
        </w:rPr>
        <w:t>林草植被恢复</w:t>
      </w:r>
      <w:r>
        <w:rPr>
          <w:rFonts w:hint="eastAsia"/>
          <w:color w:val="auto"/>
          <w:highlight w:val="none"/>
          <w:lang w:eastAsia="zh-CN"/>
        </w:rPr>
        <w:t>、</w:t>
      </w:r>
      <w:r>
        <w:rPr>
          <w:rFonts w:hint="eastAsia"/>
          <w:color w:val="auto"/>
          <w:highlight w:val="none"/>
          <w:lang w:val="en-US" w:eastAsia="zh-CN"/>
        </w:rPr>
        <w:t>覆盖</w:t>
      </w:r>
      <w:r>
        <w:rPr>
          <w:rFonts w:hint="eastAsia"/>
          <w:color w:val="auto"/>
          <w:highlight w:val="none"/>
        </w:rPr>
        <w:t>率</w:t>
      </w:r>
      <w:r>
        <w:rPr>
          <w:color w:val="auto"/>
          <w:highlight w:val="none"/>
        </w:rPr>
        <w:tab/>
      </w:r>
      <w:r>
        <w:rPr>
          <w:color w:val="auto"/>
          <w:highlight w:val="none"/>
        </w:rPr>
        <w:fldChar w:fldCharType="begin"/>
      </w:r>
      <w:r>
        <w:rPr>
          <w:color w:val="auto"/>
          <w:highlight w:val="none"/>
        </w:rPr>
        <w:instrText xml:space="preserve"> PAGEREF _Toc2019 \h </w:instrText>
      </w:r>
      <w:r>
        <w:rPr>
          <w:color w:val="auto"/>
          <w:highlight w:val="none"/>
        </w:rPr>
        <w:fldChar w:fldCharType="separate"/>
      </w:r>
      <w:r>
        <w:rPr>
          <w:color w:val="auto"/>
          <w:highlight w:val="none"/>
        </w:rPr>
        <w:t>28</w:t>
      </w:r>
      <w:r>
        <w:rPr>
          <w:color w:val="auto"/>
          <w:highlight w:val="none"/>
        </w:rPr>
        <w:fldChar w:fldCharType="end"/>
      </w:r>
      <w:r>
        <w:rPr>
          <w:rFonts w:hint="default"/>
          <w:color w:val="auto"/>
          <w:highlight w:val="none"/>
          <w:lang w:val="en-US" w:eastAsia="zh-CN"/>
        </w:rPr>
        <w:fldChar w:fldCharType="end"/>
      </w:r>
    </w:p>
    <w:p>
      <w:pPr>
        <w:pStyle w:val="15"/>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_Toc15988 </w:instrText>
      </w:r>
      <w:r>
        <w:rPr>
          <w:rFonts w:hint="default"/>
          <w:color w:val="auto"/>
          <w:highlight w:val="none"/>
          <w:lang w:val="en-US" w:eastAsia="zh-CN"/>
        </w:rPr>
        <w:fldChar w:fldCharType="separate"/>
      </w:r>
      <w:r>
        <w:rPr>
          <w:color w:val="auto"/>
          <w:highlight w:val="none"/>
        </w:rPr>
        <w:t xml:space="preserve">7 </w:t>
      </w:r>
      <w:r>
        <w:rPr>
          <w:rFonts w:hint="eastAsia"/>
          <w:color w:val="auto"/>
          <w:highlight w:val="none"/>
        </w:rPr>
        <w:t>结论</w:t>
      </w:r>
      <w:r>
        <w:rPr>
          <w:color w:val="auto"/>
          <w:highlight w:val="none"/>
        </w:rPr>
        <w:tab/>
      </w:r>
      <w:r>
        <w:rPr>
          <w:color w:val="auto"/>
          <w:highlight w:val="none"/>
        </w:rPr>
        <w:fldChar w:fldCharType="begin"/>
      </w:r>
      <w:r>
        <w:rPr>
          <w:color w:val="auto"/>
          <w:highlight w:val="none"/>
        </w:rPr>
        <w:instrText xml:space="preserve"> PAGEREF _Toc15988 \h </w:instrText>
      </w:r>
      <w:r>
        <w:rPr>
          <w:color w:val="auto"/>
          <w:highlight w:val="none"/>
        </w:rPr>
        <w:fldChar w:fldCharType="separate"/>
      </w:r>
      <w:r>
        <w:rPr>
          <w:color w:val="auto"/>
          <w:highlight w:val="none"/>
        </w:rPr>
        <w:t>29</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_Toc19425 </w:instrText>
      </w:r>
      <w:r>
        <w:rPr>
          <w:rFonts w:hint="default"/>
          <w:color w:val="auto"/>
          <w:highlight w:val="none"/>
          <w:lang w:val="en-US" w:eastAsia="zh-CN"/>
        </w:rPr>
        <w:fldChar w:fldCharType="separate"/>
      </w:r>
      <w:r>
        <w:rPr>
          <w:color w:val="auto"/>
          <w:highlight w:val="none"/>
        </w:rPr>
        <w:t xml:space="preserve">7.1 </w:t>
      </w:r>
      <w:r>
        <w:rPr>
          <w:rFonts w:hint="eastAsia"/>
          <w:color w:val="auto"/>
          <w:highlight w:val="none"/>
        </w:rPr>
        <w:t>水土流失动态变化</w:t>
      </w:r>
      <w:r>
        <w:rPr>
          <w:color w:val="auto"/>
          <w:highlight w:val="none"/>
        </w:rPr>
        <w:tab/>
      </w:r>
      <w:r>
        <w:rPr>
          <w:color w:val="auto"/>
          <w:highlight w:val="none"/>
        </w:rPr>
        <w:fldChar w:fldCharType="begin"/>
      </w:r>
      <w:r>
        <w:rPr>
          <w:color w:val="auto"/>
          <w:highlight w:val="none"/>
        </w:rPr>
        <w:instrText xml:space="preserve"> PAGEREF _Toc19425 \h </w:instrText>
      </w:r>
      <w:r>
        <w:rPr>
          <w:color w:val="auto"/>
          <w:highlight w:val="none"/>
        </w:rPr>
        <w:fldChar w:fldCharType="separate"/>
      </w:r>
      <w:r>
        <w:rPr>
          <w:color w:val="auto"/>
          <w:highlight w:val="none"/>
        </w:rPr>
        <w:t>29</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_Toc4141 </w:instrText>
      </w:r>
      <w:r>
        <w:rPr>
          <w:rFonts w:hint="default"/>
          <w:color w:val="auto"/>
          <w:highlight w:val="none"/>
          <w:lang w:val="en-US" w:eastAsia="zh-CN"/>
        </w:rPr>
        <w:fldChar w:fldCharType="separate"/>
      </w:r>
      <w:r>
        <w:rPr>
          <w:rFonts w:hint="default"/>
          <w:color w:val="auto"/>
          <w:highlight w:val="none"/>
        </w:rPr>
        <w:t>7.2</w:t>
      </w:r>
      <w:r>
        <w:rPr>
          <w:color w:val="auto"/>
          <w:highlight w:val="none"/>
        </w:rPr>
        <w:t xml:space="preserve"> </w:t>
      </w:r>
      <w:r>
        <w:rPr>
          <w:rFonts w:hint="eastAsia"/>
          <w:color w:val="auto"/>
          <w:highlight w:val="none"/>
        </w:rPr>
        <w:t>水土保持措施评价</w:t>
      </w:r>
      <w:r>
        <w:rPr>
          <w:color w:val="auto"/>
          <w:highlight w:val="none"/>
        </w:rPr>
        <w:tab/>
      </w:r>
      <w:r>
        <w:rPr>
          <w:color w:val="auto"/>
          <w:highlight w:val="none"/>
        </w:rPr>
        <w:fldChar w:fldCharType="begin"/>
      </w:r>
      <w:r>
        <w:rPr>
          <w:color w:val="auto"/>
          <w:highlight w:val="none"/>
        </w:rPr>
        <w:instrText xml:space="preserve"> PAGEREF _Toc4141 \h </w:instrText>
      </w:r>
      <w:r>
        <w:rPr>
          <w:color w:val="auto"/>
          <w:highlight w:val="none"/>
        </w:rPr>
        <w:fldChar w:fldCharType="separate"/>
      </w:r>
      <w:r>
        <w:rPr>
          <w:color w:val="auto"/>
          <w:highlight w:val="none"/>
        </w:rPr>
        <w:t>29</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_Toc15808 </w:instrText>
      </w:r>
      <w:r>
        <w:rPr>
          <w:rFonts w:hint="default"/>
          <w:color w:val="auto"/>
          <w:highlight w:val="none"/>
          <w:lang w:val="en-US" w:eastAsia="zh-CN"/>
        </w:rPr>
        <w:fldChar w:fldCharType="separate"/>
      </w:r>
      <w:r>
        <w:rPr>
          <w:color w:val="auto"/>
          <w:highlight w:val="none"/>
        </w:rPr>
        <w:t xml:space="preserve">7.3 </w:t>
      </w:r>
      <w:r>
        <w:rPr>
          <w:rFonts w:hint="eastAsia"/>
          <w:color w:val="auto"/>
          <w:highlight w:val="none"/>
        </w:rPr>
        <w:t>存在问题及建议</w:t>
      </w:r>
      <w:r>
        <w:rPr>
          <w:color w:val="auto"/>
          <w:highlight w:val="none"/>
        </w:rPr>
        <w:tab/>
      </w:r>
      <w:r>
        <w:rPr>
          <w:color w:val="auto"/>
          <w:highlight w:val="none"/>
        </w:rPr>
        <w:fldChar w:fldCharType="begin"/>
      </w:r>
      <w:r>
        <w:rPr>
          <w:color w:val="auto"/>
          <w:highlight w:val="none"/>
        </w:rPr>
        <w:instrText xml:space="preserve"> PAGEREF _Toc15808 \h </w:instrText>
      </w:r>
      <w:r>
        <w:rPr>
          <w:color w:val="auto"/>
          <w:highlight w:val="none"/>
        </w:rPr>
        <w:fldChar w:fldCharType="separate"/>
      </w:r>
      <w:r>
        <w:rPr>
          <w:color w:val="auto"/>
          <w:highlight w:val="none"/>
        </w:rPr>
        <w:t>30</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_Toc17676 </w:instrText>
      </w:r>
      <w:r>
        <w:rPr>
          <w:rFonts w:hint="default"/>
          <w:color w:val="auto"/>
          <w:highlight w:val="none"/>
          <w:lang w:val="en-US" w:eastAsia="zh-CN"/>
        </w:rPr>
        <w:fldChar w:fldCharType="separate"/>
      </w:r>
      <w:r>
        <w:rPr>
          <w:color w:val="auto"/>
          <w:highlight w:val="none"/>
        </w:rPr>
        <w:t xml:space="preserve">7.4 </w:t>
      </w:r>
      <w:r>
        <w:rPr>
          <w:rFonts w:hint="eastAsia"/>
          <w:color w:val="auto"/>
          <w:highlight w:val="none"/>
        </w:rPr>
        <w:t>综合结论</w:t>
      </w:r>
      <w:r>
        <w:rPr>
          <w:color w:val="auto"/>
          <w:highlight w:val="none"/>
        </w:rPr>
        <w:tab/>
      </w:r>
      <w:r>
        <w:rPr>
          <w:color w:val="auto"/>
          <w:highlight w:val="none"/>
        </w:rPr>
        <w:fldChar w:fldCharType="begin"/>
      </w:r>
      <w:r>
        <w:rPr>
          <w:color w:val="auto"/>
          <w:highlight w:val="none"/>
        </w:rPr>
        <w:instrText xml:space="preserve"> PAGEREF _Toc17676 \h </w:instrText>
      </w:r>
      <w:r>
        <w:rPr>
          <w:color w:val="auto"/>
          <w:highlight w:val="none"/>
        </w:rPr>
        <w:fldChar w:fldCharType="separate"/>
      </w:r>
      <w:r>
        <w:rPr>
          <w:color w:val="auto"/>
          <w:highlight w:val="none"/>
        </w:rPr>
        <w:t>30</w:t>
      </w:r>
      <w:r>
        <w:rPr>
          <w:color w:val="auto"/>
          <w:highlight w:val="none"/>
        </w:rPr>
        <w:fldChar w:fldCharType="end"/>
      </w:r>
      <w:r>
        <w:rPr>
          <w:rFonts w:hint="default"/>
          <w:color w:val="auto"/>
          <w:highlight w:val="none"/>
          <w:lang w:val="en-US" w:eastAsia="zh-CN"/>
        </w:rPr>
        <w:fldChar w:fldCharType="end"/>
      </w:r>
    </w:p>
    <w:p>
      <w:pPr>
        <w:pStyle w:val="15"/>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_Toc16587 </w:instrText>
      </w:r>
      <w:r>
        <w:rPr>
          <w:rFonts w:hint="default"/>
          <w:color w:val="auto"/>
          <w:highlight w:val="none"/>
          <w:lang w:val="en-US" w:eastAsia="zh-CN"/>
        </w:rPr>
        <w:fldChar w:fldCharType="separate"/>
      </w:r>
      <w:r>
        <w:rPr>
          <w:color w:val="auto"/>
          <w:highlight w:val="none"/>
        </w:rPr>
        <w:t xml:space="preserve">8 </w:t>
      </w:r>
      <w:r>
        <w:rPr>
          <w:rFonts w:hint="eastAsia"/>
          <w:color w:val="auto"/>
          <w:highlight w:val="none"/>
        </w:rPr>
        <w:t>附图及有关资料</w:t>
      </w:r>
      <w:r>
        <w:rPr>
          <w:color w:val="auto"/>
          <w:highlight w:val="none"/>
        </w:rPr>
        <w:tab/>
      </w:r>
      <w:r>
        <w:rPr>
          <w:color w:val="auto"/>
          <w:highlight w:val="none"/>
        </w:rPr>
        <w:fldChar w:fldCharType="begin"/>
      </w:r>
      <w:r>
        <w:rPr>
          <w:color w:val="auto"/>
          <w:highlight w:val="none"/>
        </w:rPr>
        <w:instrText xml:space="preserve"> PAGEREF _Toc16587 \h </w:instrText>
      </w:r>
      <w:r>
        <w:rPr>
          <w:color w:val="auto"/>
          <w:highlight w:val="none"/>
        </w:rPr>
        <w:fldChar w:fldCharType="separate"/>
      </w:r>
      <w:r>
        <w:rPr>
          <w:color w:val="auto"/>
          <w:highlight w:val="none"/>
        </w:rPr>
        <w:t>32</w:t>
      </w:r>
      <w:r>
        <w:rPr>
          <w:color w:val="auto"/>
          <w:highlight w:val="none"/>
        </w:rPr>
        <w:fldChar w:fldCharType="end"/>
      </w:r>
      <w:r>
        <w:rPr>
          <w:rFonts w:hint="default"/>
          <w:color w:val="auto"/>
          <w:highlight w:val="none"/>
          <w:lang w:val="en-US" w:eastAsia="zh-CN"/>
        </w:rPr>
        <w:fldChar w:fldCharType="end"/>
      </w:r>
    </w:p>
    <w:p>
      <w:pPr>
        <w:pStyle w:val="17"/>
        <w:tabs>
          <w:tab w:val="right" w:leader="dot" w:pos="8306"/>
        </w:tabs>
        <w:rPr>
          <w:color w:val="auto"/>
          <w:highlight w:val="none"/>
        </w:rPr>
      </w:pPr>
      <w:r>
        <w:rPr>
          <w:rFonts w:hint="default"/>
          <w:color w:val="auto"/>
          <w:highlight w:val="none"/>
          <w:lang w:val="en-US" w:eastAsia="zh-CN"/>
        </w:rPr>
        <w:fldChar w:fldCharType="begin"/>
      </w:r>
      <w:r>
        <w:rPr>
          <w:rFonts w:hint="default"/>
          <w:color w:val="auto"/>
          <w:highlight w:val="none"/>
          <w:lang w:val="en-US" w:eastAsia="zh-CN"/>
        </w:rPr>
        <w:instrText xml:space="preserve"> HYPERLINK \l _Toc5016 </w:instrText>
      </w:r>
      <w:r>
        <w:rPr>
          <w:rFonts w:hint="default"/>
          <w:color w:val="auto"/>
          <w:highlight w:val="none"/>
          <w:lang w:val="en-US" w:eastAsia="zh-CN"/>
        </w:rPr>
        <w:fldChar w:fldCharType="separate"/>
      </w:r>
      <w:r>
        <w:rPr>
          <w:color w:val="auto"/>
          <w:highlight w:val="none"/>
        </w:rPr>
        <w:t xml:space="preserve">8.1 </w:t>
      </w:r>
      <w:r>
        <w:rPr>
          <w:rFonts w:hint="eastAsia"/>
          <w:color w:val="auto"/>
          <w:highlight w:val="none"/>
        </w:rPr>
        <w:t>有关资料</w:t>
      </w:r>
      <w:r>
        <w:rPr>
          <w:color w:val="auto"/>
          <w:highlight w:val="none"/>
        </w:rPr>
        <w:tab/>
      </w:r>
      <w:r>
        <w:rPr>
          <w:color w:val="auto"/>
          <w:highlight w:val="none"/>
        </w:rPr>
        <w:fldChar w:fldCharType="begin"/>
      </w:r>
      <w:r>
        <w:rPr>
          <w:color w:val="auto"/>
          <w:highlight w:val="none"/>
        </w:rPr>
        <w:instrText xml:space="preserve"> PAGEREF _Toc5016 \h </w:instrText>
      </w:r>
      <w:r>
        <w:rPr>
          <w:color w:val="auto"/>
          <w:highlight w:val="none"/>
        </w:rPr>
        <w:fldChar w:fldCharType="separate"/>
      </w:r>
      <w:r>
        <w:rPr>
          <w:color w:val="auto"/>
          <w:highlight w:val="none"/>
        </w:rPr>
        <w:t>32</w:t>
      </w:r>
      <w:r>
        <w:rPr>
          <w:color w:val="auto"/>
          <w:highlight w:val="none"/>
        </w:rPr>
        <w:fldChar w:fldCharType="end"/>
      </w:r>
      <w:r>
        <w:rPr>
          <w:rFonts w:hint="default"/>
          <w:color w:val="auto"/>
          <w:highlight w:val="none"/>
          <w:lang w:val="en-US" w:eastAsia="zh-CN"/>
        </w:rPr>
        <w:fldChar w:fldCharType="end"/>
      </w:r>
    </w:p>
    <w:p>
      <w:pPr>
        <w:pStyle w:val="2"/>
        <w:rPr>
          <w:rFonts w:hint="default"/>
          <w:color w:val="auto"/>
          <w:highlight w:val="none"/>
          <w:lang w:val="en-US" w:eastAsia="zh-CN"/>
        </w:rPr>
        <w:sectPr>
          <w:pgSz w:w="11906" w:h="16838"/>
          <w:pgMar w:top="1440" w:right="1440" w:bottom="1440" w:left="1440" w:header="851" w:footer="992" w:gutter="0"/>
          <w:cols w:space="0" w:num="1"/>
          <w:rtlGutter w:val="0"/>
          <w:docGrid w:type="lines" w:linePitch="312" w:charSpace="0"/>
        </w:sectPr>
      </w:pPr>
      <w:r>
        <w:rPr>
          <w:rFonts w:hint="default"/>
          <w:color w:val="auto"/>
          <w:highlight w:val="none"/>
          <w:lang w:val="en-US" w:eastAsia="zh-CN"/>
        </w:rPr>
        <w:fldChar w:fldCharType="end"/>
      </w:r>
    </w:p>
    <w:p>
      <w:pPr>
        <w:pStyle w:val="3"/>
        <w:bidi w:val="0"/>
        <w:rPr>
          <w:color w:val="auto"/>
          <w:highlight w:val="none"/>
        </w:rPr>
      </w:pPr>
      <w:bookmarkStart w:id="0" w:name="_Toc14773"/>
      <w:r>
        <w:rPr>
          <w:color w:val="auto"/>
          <w:highlight w:val="none"/>
        </w:rPr>
        <w:t>1</w:t>
      </w:r>
      <w:r>
        <w:rPr>
          <w:rFonts w:hint="eastAsia"/>
          <w:color w:val="auto"/>
          <w:highlight w:val="none"/>
          <w:lang w:eastAsia="zh-CN"/>
        </w:rPr>
        <w:t>、</w:t>
      </w:r>
      <w:r>
        <w:rPr>
          <w:rFonts w:hint="eastAsia"/>
          <w:color w:val="auto"/>
          <w:highlight w:val="none"/>
        </w:rPr>
        <w:t>建设项目及水土保持工作概况</w:t>
      </w:r>
      <w:bookmarkEnd w:id="0"/>
      <w:r>
        <w:rPr>
          <w:rFonts w:hint="eastAsia"/>
          <w:color w:val="auto"/>
          <w:highlight w:val="none"/>
        </w:rPr>
        <w:t xml:space="preserve"> </w:t>
      </w:r>
    </w:p>
    <w:p>
      <w:pPr>
        <w:pStyle w:val="4"/>
        <w:bidi w:val="0"/>
        <w:rPr>
          <w:color w:val="auto"/>
          <w:highlight w:val="none"/>
        </w:rPr>
      </w:pPr>
      <w:bookmarkStart w:id="1" w:name="_Toc1499"/>
      <w:r>
        <w:rPr>
          <w:color w:val="auto"/>
          <w:highlight w:val="none"/>
        </w:rPr>
        <w:t xml:space="preserve">1.1 </w:t>
      </w:r>
      <w:r>
        <w:rPr>
          <w:rFonts w:hint="eastAsia"/>
          <w:color w:val="auto"/>
          <w:highlight w:val="none"/>
        </w:rPr>
        <w:t>建设项目概况</w:t>
      </w:r>
      <w:bookmarkEnd w:id="1"/>
      <w:r>
        <w:rPr>
          <w:rFonts w:hint="eastAsia"/>
          <w:color w:val="auto"/>
          <w:highlight w:val="none"/>
        </w:rPr>
        <w:t xml:space="preserve"> </w:t>
      </w:r>
    </w:p>
    <w:p>
      <w:pPr>
        <w:pStyle w:val="5"/>
        <w:bidi w:val="0"/>
        <w:rPr>
          <w:rFonts w:hint="eastAsia"/>
          <w:color w:val="auto"/>
          <w:highlight w:val="none"/>
        </w:rPr>
      </w:pPr>
      <w:bookmarkStart w:id="2" w:name="_Toc23593"/>
      <w:r>
        <w:rPr>
          <w:color w:val="auto"/>
          <w:highlight w:val="none"/>
        </w:rPr>
        <w:t xml:space="preserve">1.1.1 </w:t>
      </w:r>
      <w:r>
        <w:rPr>
          <w:rFonts w:hint="eastAsia"/>
          <w:color w:val="auto"/>
          <w:highlight w:val="none"/>
        </w:rPr>
        <w:t>项目基本情况</w:t>
      </w:r>
      <w:bookmarkEnd w:id="2"/>
      <w:r>
        <w:rPr>
          <w:rFonts w:hint="eastAsia"/>
          <w:color w:val="auto"/>
          <w:highlight w:val="none"/>
        </w:rPr>
        <w:t xml:space="preserve"> </w:t>
      </w:r>
    </w:p>
    <w:p>
      <w:pPr>
        <w:spacing w:line="360" w:lineRule="auto"/>
        <w:rPr>
          <w:rFonts w:hint="eastAsia"/>
          <w:color w:val="auto"/>
          <w:highlight w:val="none"/>
          <w:lang w:val="en-US" w:eastAsia="zh-CN"/>
        </w:rPr>
      </w:pPr>
      <w:r>
        <w:rPr>
          <w:rFonts w:hint="eastAsia"/>
          <w:color w:val="auto"/>
          <w:highlight w:val="none"/>
          <w:lang w:val="en-US" w:eastAsia="zh-CN"/>
        </w:rPr>
        <w:t>衡阳市城市建设投资有限公司衡阳市廻雁峰公园地下停车场项目位于衡阳市雁峰区湘江西岸廻雁峰公园内，湘江左岸。地理位置位于东经112°36′35.35″，北纬26°53′21.67″。有多路公交车直达。南临交通干线衡州大道，西靠蒸阳路，东面是湘江路，紧临湘江风光带，在衡阳的远景规划中处于两轴相交处，衡阳市境内共有高速公路出口多个，有G72、G4、S80、S61等高速公路的出口，还有衡广高速公路、衡桂高速公路，水路有湘江千吨级码头多个，交通十分方便。项目区系湘江水系，项目建设单位为衡阳市城市建设投资有限公司。工程计划总投资约32000万元，土建投资27776.68万元，自筹10000万元，银行贷款22000万元。施工准备期自拆迁完成后2个月内，施工期自拆迁完成后2个月内，竣工自拆迁完成后2年内，施工期22个月。</w:t>
      </w:r>
    </w:p>
    <w:p>
      <w:pPr>
        <w:spacing w:line="360" w:lineRule="auto"/>
        <w:rPr>
          <w:rFonts w:hint="eastAsia"/>
          <w:color w:val="auto"/>
          <w:highlight w:val="none"/>
          <w:lang w:val="en-US" w:eastAsia="zh-CN"/>
        </w:rPr>
      </w:pPr>
      <w:r>
        <w:rPr>
          <w:rFonts w:hint="eastAsia"/>
          <w:color w:val="auto"/>
          <w:highlight w:val="none"/>
          <w:lang w:val="en-US" w:eastAsia="zh-CN"/>
        </w:rPr>
        <w:t>占地面积48427.08m²，总建筑面积86120.75m²，共设置2652个停车位，项目分为A、B、C三个区域，A区和C区为两层，单层层高为4.5m，其中A区：占地114534.80m²，设置1405个停车位；C区：占地23158.87m²，设置739个停车位；B区：占地10733.41m²，设置508个停车位，负一层为地下人防工程，人防面积5152.46m²。</w:t>
      </w:r>
    </w:p>
    <w:p>
      <w:pPr>
        <w:bidi w:val="0"/>
        <w:spacing w:line="360" w:lineRule="auto"/>
        <w:rPr>
          <w:rFonts w:hint="eastAsia"/>
          <w:color w:val="auto"/>
          <w:highlight w:val="none"/>
          <w:lang w:val="en-US" w:eastAsia="zh-CN"/>
        </w:rPr>
      </w:pPr>
      <w:r>
        <w:rPr>
          <w:rFonts w:hint="eastAsia"/>
          <w:color w:val="auto"/>
          <w:highlight w:val="none"/>
          <w:lang w:val="en-US" w:eastAsia="zh-CN"/>
        </w:rPr>
        <w:t>衡阳市廻雁峰公园地下停车场项目位于规划衡阳市廻雁峰•巷荫岭棚户区改造项目的地下，该项目地上为规划衡阳市廻雁峰•巷荫岭棚户区改造项目。规划衡阳市廻雁峰•巷荫岭棚户区改造项目占地14.27h㎡ ，其中包括衡阳市廻雁峰公园地下停车场项目的地下部分。</w:t>
      </w:r>
    </w:p>
    <w:p>
      <w:pPr>
        <w:pStyle w:val="5"/>
        <w:bidi w:val="0"/>
        <w:rPr>
          <w:rFonts w:hint="eastAsia"/>
          <w:color w:val="auto"/>
          <w:highlight w:val="none"/>
        </w:rPr>
      </w:pPr>
      <w:bookmarkStart w:id="3" w:name="_Toc29871"/>
      <w:r>
        <w:rPr>
          <w:color w:val="auto"/>
          <w:highlight w:val="none"/>
        </w:rPr>
        <w:t xml:space="preserve">1.1.2 </w:t>
      </w:r>
      <w:r>
        <w:rPr>
          <w:rFonts w:hint="eastAsia"/>
          <w:color w:val="auto"/>
          <w:highlight w:val="none"/>
        </w:rPr>
        <w:t>项目区概况</w:t>
      </w:r>
      <w:bookmarkEnd w:id="3"/>
    </w:p>
    <w:p>
      <w:pPr>
        <w:bidi w:val="0"/>
        <w:rPr>
          <w:color w:val="auto"/>
          <w:highlight w:val="none"/>
        </w:rPr>
      </w:pPr>
      <w:r>
        <w:rPr>
          <w:rFonts w:hint="eastAsia"/>
          <w:color w:val="auto"/>
          <w:highlight w:val="none"/>
          <w:lang w:val="en-US" w:eastAsia="zh-CN"/>
        </w:rPr>
        <w:t>1、</w:t>
      </w:r>
      <w:r>
        <w:rPr>
          <w:color w:val="auto"/>
          <w:highlight w:val="none"/>
        </w:rPr>
        <w:t>气象</w:t>
      </w:r>
    </w:p>
    <w:p>
      <w:pPr>
        <w:bidi w:val="0"/>
        <w:rPr>
          <w:rFonts w:hint="eastAsia" w:eastAsia="仿宋_GB2312"/>
          <w:color w:val="auto"/>
          <w:highlight w:val="none"/>
          <w:lang w:eastAsia="zh-CN"/>
        </w:rPr>
      </w:pPr>
      <w:r>
        <w:rPr>
          <w:color w:val="auto"/>
          <w:highlight w:val="none"/>
        </w:rPr>
        <w:t>项目区所在地衡阳市雁峰区属典型的亚热带大陆季风温湿气候区，具有明显的季节性气候特征，四季分明。多年平均气温18.1 </w:t>
      </w:r>
      <w:r>
        <w:rPr>
          <w:rFonts w:hint="eastAsia"/>
          <w:color w:val="auto"/>
          <w:highlight w:val="none"/>
          <w:lang w:val="en-US" w:eastAsia="zh-CN"/>
        </w:rPr>
        <w:t>℃</w:t>
      </w:r>
      <w:r>
        <w:rPr>
          <w:color w:val="auto"/>
          <w:highlight w:val="none"/>
        </w:rPr>
        <w:t>,最热月平均气温高为29.8</w:t>
      </w:r>
      <w:r>
        <w:rPr>
          <w:rFonts w:hint="eastAsia"/>
          <w:color w:val="auto"/>
          <w:highlight w:val="none"/>
          <w:lang w:val="en-US" w:eastAsia="zh-CN"/>
        </w:rPr>
        <w:t>℃</w:t>
      </w:r>
      <w:r>
        <w:rPr>
          <w:color w:val="auto"/>
          <w:highlight w:val="none"/>
        </w:rPr>
        <w:t>，最冷月份平均气温5.6</w:t>
      </w:r>
      <w:r>
        <w:rPr>
          <w:rFonts w:hint="eastAsia"/>
          <w:color w:val="auto"/>
          <w:highlight w:val="none"/>
          <w:lang w:val="en-US" w:eastAsia="zh-CN"/>
        </w:rPr>
        <w:t>℃</w:t>
      </w:r>
      <w:r>
        <w:rPr>
          <w:color w:val="auto"/>
          <w:highlight w:val="none"/>
        </w:rPr>
        <w:t>，极端最高气温40.8</w:t>
      </w:r>
      <w:r>
        <w:rPr>
          <w:rFonts w:hint="eastAsia"/>
          <w:color w:val="auto"/>
          <w:highlight w:val="none"/>
          <w:lang w:val="en-US" w:eastAsia="zh-CN"/>
        </w:rPr>
        <w:t>℃</w:t>
      </w:r>
      <w:r>
        <w:rPr>
          <w:color w:val="auto"/>
          <w:highlight w:val="none"/>
        </w:rPr>
        <w:t>，最低气温-10.3 </w:t>
      </w:r>
      <w:r>
        <w:rPr>
          <w:rFonts w:hint="eastAsia"/>
          <w:color w:val="auto"/>
          <w:highlight w:val="none"/>
          <w:lang w:val="en-US" w:eastAsia="zh-CN"/>
        </w:rPr>
        <w:t>℃</w:t>
      </w:r>
      <w:r>
        <w:rPr>
          <w:color w:val="auto"/>
          <w:highlight w:val="none"/>
        </w:rPr>
        <w:t>，年内温差变化大，酷暑炎热及冰寒时间甚短，</w:t>
      </w:r>
      <w:r>
        <w:rPr>
          <w:rFonts w:hint="eastAsia"/>
          <w:color w:val="auto"/>
          <w:highlight w:val="none"/>
          <w:lang w:val="en-US" w:eastAsia="zh-CN"/>
        </w:rPr>
        <w:t>仅</w:t>
      </w:r>
      <w:r>
        <w:rPr>
          <w:color w:val="auto"/>
          <w:highlight w:val="none"/>
        </w:rPr>
        <w:t>7</w:t>
      </w:r>
      <w:r>
        <w:rPr>
          <w:rFonts w:hint="eastAsia"/>
          <w:color w:val="auto"/>
          <w:highlight w:val="none"/>
          <w:lang w:val="en-US" w:eastAsia="zh-CN"/>
        </w:rPr>
        <w:t>~</w:t>
      </w:r>
      <w:r>
        <w:rPr>
          <w:color w:val="auto"/>
          <w:highlight w:val="none"/>
        </w:rPr>
        <w:t>8月间出现短期酷暑，12月与1月受西北寒流侵入，短期冰冻寒冷，相对湿度78</w:t>
      </w:r>
      <w:r>
        <w:rPr>
          <w:rFonts w:hint="eastAsia"/>
          <w:color w:val="auto"/>
          <w:highlight w:val="none"/>
          <w:lang w:val="en-US" w:eastAsia="zh-CN"/>
        </w:rPr>
        <w:t>%</w:t>
      </w:r>
      <w:r>
        <w:rPr>
          <w:color w:val="auto"/>
          <w:highlight w:val="none"/>
        </w:rPr>
        <w:t>，湿润系数0.884~0.915</w:t>
      </w:r>
      <w:r>
        <w:rPr>
          <w:rFonts w:hint="eastAsia"/>
          <w:color w:val="auto"/>
          <w:highlight w:val="none"/>
          <w:lang w:eastAsia="zh-CN"/>
        </w:rPr>
        <w:t>，</w:t>
      </w:r>
      <w:r>
        <w:rPr>
          <w:color w:val="auto"/>
          <w:highlight w:val="none"/>
        </w:rPr>
        <w:t>干旱季节多集中在7~9月</w:t>
      </w:r>
      <w:r>
        <w:rPr>
          <w:rFonts w:hint="eastAsia"/>
          <w:color w:val="auto"/>
          <w:highlight w:val="none"/>
          <w:lang w:eastAsia="zh-CN"/>
        </w:rPr>
        <w:t>；</w:t>
      </w:r>
      <w:r>
        <w:rPr>
          <w:color w:val="auto"/>
          <w:highlight w:val="none"/>
        </w:rPr>
        <w:t>年平均风速2.2m/s,历年最大风力8~9级，般风力1~3级，最大风速27 m/s</w:t>
      </w:r>
      <w:r>
        <w:rPr>
          <w:rFonts w:hint="eastAsia"/>
          <w:color w:val="auto"/>
          <w:highlight w:val="none"/>
          <w:lang w:eastAsia="zh-CN"/>
        </w:rPr>
        <w:t>，</w:t>
      </w:r>
      <w:r>
        <w:rPr>
          <w:color w:val="auto"/>
          <w:highlight w:val="none"/>
        </w:rPr>
        <w:t>常年主导风向为东北风，夏季主导风向为偏南风;雨量充沛，全年降水日数为156</w:t>
      </w:r>
      <w:r>
        <w:rPr>
          <w:rFonts w:hint="eastAsia"/>
          <w:color w:val="auto"/>
          <w:highlight w:val="none"/>
          <w:lang w:val="en-US" w:eastAsia="zh-CN"/>
        </w:rPr>
        <w:t>~</w:t>
      </w:r>
      <w:r>
        <w:rPr>
          <w:color w:val="auto"/>
          <w:highlight w:val="none"/>
        </w:rPr>
        <w:t>171天，多年平均降雨量1329.8 mm。降水高峰出现在5月份，月雨量在193.9</w:t>
      </w:r>
      <w:r>
        <w:rPr>
          <w:rFonts w:hint="eastAsia"/>
          <w:color w:val="auto"/>
          <w:highlight w:val="none"/>
          <w:lang w:val="en-US" w:eastAsia="zh-CN"/>
        </w:rPr>
        <w:t>~</w:t>
      </w:r>
      <w:r>
        <w:rPr>
          <w:color w:val="auto"/>
          <w:highlight w:val="none"/>
        </w:rPr>
        <w:t>212.1mm之间。日降水量&gt;50 mm的暴雨往往出现在5至8月，日降水强度最大达到217.4mm。降水强度最小的月降水量为零。多年平均蒸发量为1394~1363 mm,历年最大集雪厚度17 mm</w:t>
      </w:r>
      <w:r>
        <w:rPr>
          <w:rFonts w:hint="eastAsia"/>
          <w:color w:val="auto"/>
          <w:highlight w:val="none"/>
          <w:lang w:eastAsia="zh-CN"/>
        </w:rPr>
        <w:t>，</w:t>
      </w:r>
      <w:r>
        <w:rPr>
          <w:color w:val="auto"/>
          <w:highlight w:val="none"/>
        </w:rPr>
        <w:t>平均冰冻期9~12天，无霜期287天</w:t>
      </w:r>
      <w:r>
        <w:rPr>
          <w:rFonts w:hint="eastAsia"/>
          <w:color w:val="auto"/>
          <w:highlight w:val="none"/>
          <w:lang w:eastAsia="zh-CN"/>
        </w:rPr>
        <w:t>；</w:t>
      </w:r>
      <w:r>
        <w:rPr>
          <w:color w:val="auto"/>
          <w:highlight w:val="none"/>
        </w:rPr>
        <w:t>年平均日照数为1695.3h</w:t>
      </w:r>
      <w:r>
        <w:rPr>
          <w:rFonts w:hint="eastAsia"/>
          <w:color w:val="auto"/>
          <w:highlight w:val="none"/>
          <w:lang w:eastAsia="zh-CN"/>
        </w:rPr>
        <w:t>，</w:t>
      </w:r>
      <w:r>
        <w:rPr>
          <w:color w:val="auto"/>
          <w:highlight w:val="none"/>
        </w:rPr>
        <w:t>全年日照率为38%</w:t>
      </w:r>
      <w:r>
        <w:rPr>
          <w:rFonts w:hint="eastAsia"/>
          <w:color w:val="auto"/>
          <w:highlight w:val="none"/>
          <w:lang w:eastAsia="zh-CN"/>
        </w:rPr>
        <w:t>。</w:t>
      </w:r>
    </w:p>
    <w:p>
      <w:pPr>
        <w:bidi w:val="0"/>
        <w:rPr>
          <w:color w:val="auto"/>
          <w:highlight w:val="none"/>
        </w:rPr>
      </w:pPr>
      <w:r>
        <w:rPr>
          <w:rFonts w:hint="eastAsia"/>
          <w:color w:val="auto"/>
          <w:highlight w:val="none"/>
          <w:lang w:val="en-US" w:eastAsia="zh-CN"/>
        </w:rPr>
        <w:t>2、</w:t>
      </w:r>
      <w:r>
        <w:rPr>
          <w:color w:val="auto"/>
          <w:highlight w:val="none"/>
        </w:rPr>
        <w:t>地形地貌</w:t>
      </w:r>
    </w:p>
    <w:p>
      <w:pPr>
        <w:bidi w:val="0"/>
        <w:rPr>
          <w:color w:val="auto"/>
          <w:highlight w:val="none"/>
        </w:rPr>
      </w:pPr>
      <w:r>
        <w:rPr>
          <w:color w:val="auto"/>
          <w:highlight w:val="none"/>
        </w:rPr>
        <w:t>项目区所在地衡阳市地处湖南省凹形面的轴带部分，周围环绕着古老岩层形成的断续环带状的岭脊山地，内镶大面积白垩系和下第三系红层的红色丘陵台地，构成典型的盆地形势。衡阳盆地南高北低。整个盆地南面地势较高，100</w:t>
      </w:r>
      <w:r>
        <w:rPr>
          <w:rFonts w:hint="eastAsia"/>
          <w:color w:val="auto"/>
          <w:highlight w:val="none"/>
          <w:lang w:val="en-US" w:eastAsia="zh-CN"/>
        </w:rPr>
        <w:t>0m</w:t>
      </w:r>
      <w:r>
        <w:rPr>
          <w:color w:val="auto"/>
          <w:highlight w:val="none"/>
        </w:rPr>
        <w:t>以上的山中东西连绵数十公里，而盆地北面相对偏低，衡山山脉虽较高，但各峰呈峰林状屹立于中间，其东西两侧都有较低的向北通道，其东侧的湘江河谷两岸海拔高度均在10</w:t>
      </w:r>
      <w:r>
        <w:rPr>
          <w:rFonts w:hint="eastAsia"/>
          <w:color w:val="auto"/>
          <w:highlight w:val="none"/>
          <w:lang w:val="en-US" w:eastAsia="zh-CN"/>
        </w:rPr>
        <w:t>0</w:t>
      </w:r>
      <w:r>
        <w:rPr>
          <w:color w:val="auto"/>
          <w:highlight w:val="none"/>
        </w:rPr>
        <w:t> m以下。整个地势由西南向东北复倾斜，而盆地由四周向中部降低，呈现100 </w:t>
      </w:r>
      <w:r>
        <w:rPr>
          <w:rFonts w:hint="eastAsia"/>
          <w:color w:val="auto"/>
          <w:highlight w:val="none"/>
          <w:lang w:val="en-US" w:eastAsia="zh-CN"/>
        </w:rPr>
        <w:t>0m、</w:t>
      </w:r>
      <w:r>
        <w:rPr>
          <w:color w:val="auto"/>
          <w:highlight w:val="none"/>
        </w:rPr>
        <w:t>80</w:t>
      </w:r>
      <w:r>
        <w:rPr>
          <w:rFonts w:hint="eastAsia"/>
          <w:color w:val="auto"/>
          <w:highlight w:val="none"/>
          <w:lang w:val="en-US" w:eastAsia="zh-CN"/>
        </w:rPr>
        <w:t>0~</w:t>
      </w:r>
      <w:r>
        <w:rPr>
          <w:color w:val="auto"/>
          <w:highlight w:val="none"/>
        </w:rPr>
        <w:t>70</w:t>
      </w:r>
      <w:r>
        <w:rPr>
          <w:rFonts w:hint="eastAsia"/>
          <w:color w:val="auto"/>
          <w:highlight w:val="none"/>
          <w:lang w:val="en-US" w:eastAsia="zh-CN"/>
        </w:rPr>
        <w:t>0</w:t>
      </w:r>
      <w:r>
        <w:rPr>
          <w:color w:val="auto"/>
          <w:highlight w:val="none"/>
        </w:rPr>
        <w:t> m</w:t>
      </w:r>
      <w:r>
        <w:rPr>
          <w:rFonts w:hint="eastAsia"/>
          <w:color w:val="auto"/>
          <w:highlight w:val="none"/>
          <w:lang w:eastAsia="zh-CN"/>
        </w:rPr>
        <w:t>，</w:t>
      </w:r>
      <w:r>
        <w:rPr>
          <w:color w:val="auto"/>
          <w:highlight w:val="none"/>
        </w:rPr>
        <w:t> 400</w:t>
      </w:r>
      <w:r>
        <w:rPr>
          <w:rFonts w:hint="eastAsia"/>
          <w:color w:val="auto"/>
          <w:highlight w:val="none"/>
          <w:lang w:val="en-US" w:eastAsia="zh-CN"/>
        </w:rPr>
        <w:t>~</w:t>
      </w:r>
      <w:r>
        <w:rPr>
          <w:color w:val="auto"/>
          <w:highlight w:val="none"/>
        </w:rPr>
        <w:t>300 m </w:t>
      </w:r>
      <w:r>
        <w:rPr>
          <w:rFonts w:hint="eastAsia"/>
          <w:color w:val="auto"/>
          <w:highlight w:val="none"/>
          <w:lang w:eastAsia="zh-CN"/>
        </w:rPr>
        <w:t>、</w:t>
      </w:r>
      <w:r>
        <w:rPr>
          <w:color w:val="auto"/>
          <w:highlight w:val="none"/>
        </w:rPr>
        <w:t>150 m四级夷为平面。地貌类型多样，以岗丘为主，四周山、丘围绕，中部平、岗丘交错，山</w:t>
      </w:r>
      <w:r>
        <w:rPr>
          <w:rFonts w:hint="eastAsia"/>
          <w:color w:val="auto"/>
          <w:highlight w:val="none"/>
          <w:lang w:eastAsia="zh-CN"/>
        </w:rPr>
        <w:t>、</w:t>
      </w:r>
      <w:r>
        <w:rPr>
          <w:color w:val="auto"/>
          <w:highlight w:val="none"/>
        </w:rPr>
        <w:t>丘、岗、平兼有，按成因分为流水和岩溶地貌两大类，以流水地貌为主，占全市总面积的74.6%</w:t>
      </w:r>
      <w:r>
        <w:rPr>
          <w:rFonts w:hint="eastAsia"/>
          <w:color w:val="auto"/>
          <w:highlight w:val="none"/>
          <w:lang w:eastAsia="zh-CN"/>
        </w:rPr>
        <w:t>，</w:t>
      </w:r>
      <w:r>
        <w:rPr>
          <w:color w:val="auto"/>
          <w:highlight w:val="none"/>
        </w:rPr>
        <w:t>按形态分类</w:t>
      </w:r>
      <w:r>
        <w:rPr>
          <w:rFonts w:hint="eastAsia"/>
          <w:color w:val="auto"/>
          <w:highlight w:val="none"/>
          <w:lang w:eastAsia="zh-CN"/>
        </w:rPr>
        <w:t>，</w:t>
      </w:r>
      <w:r>
        <w:rPr>
          <w:color w:val="auto"/>
          <w:highlight w:val="none"/>
        </w:rPr>
        <w:t>平原占总面积的20.8%</w:t>
      </w:r>
      <w:r>
        <w:rPr>
          <w:rFonts w:hint="eastAsia"/>
          <w:color w:val="auto"/>
          <w:highlight w:val="none"/>
          <w:lang w:eastAsia="zh-CN"/>
        </w:rPr>
        <w:t>、</w:t>
      </w:r>
      <w:r>
        <w:rPr>
          <w:color w:val="auto"/>
          <w:highlight w:val="none"/>
        </w:rPr>
        <w:t>岗地占24.32%、丘陵占26.47%、山地占21.17%、水面占4.24%</w:t>
      </w:r>
      <w:r>
        <w:rPr>
          <w:rFonts w:hint="eastAsia"/>
          <w:color w:val="auto"/>
          <w:highlight w:val="none"/>
          <w:lang w:eastAsia="zh-CN"/>
        </w:rPr>
        <w:t>，</w:t>
      </w:r>
      <w:r>
        <w:rPr>
          <w:color w:val="auto"/>
          <w:highlight w:val="none"/>
        </w:rPr>
        <w:t>水面</w:t>
      </w:r>
      <w:r>
        <w:rPr>
          <w:rFonts w:hint="eastAsia"/>
          <w:color w:val="auto"/>
          <w:highlight w:val="none"/>
          <w:lang w:eastAsia="zh-CN"/>
        </w:rPr>
        <w:t>：</w:t>
      </w:r>
      <w:r>
        <w:rPr>
          <w:color w:val="auto"/>
          <w:highlight w:val="none"/>
        </w:rPr>
        <w:t>平原</w:t>
      </w:r>
      <w:r>
        <w:rPr>
          <w:rFonts w:hint="eastAsia"/>
          <w:color w:val="auto"/>
          <w:highlight w:val="none"/>
          <w:lang w:eastAsia="zh-CN"/>
        </w:rPr>
        <w:t>：</w:t>
      </w:r>
      <w:r>
        <w:rPr>
          <w:color w:val="auto"/>
          <w:highlight w:val="none"/>
        </w:rPr>
        <w:t>岗地</w:t>
      </w:r>
      <w:r>
        <w:rPr>
          <w:rFonts w:hint="eastAsia"/>
          <w:color w:val="auto"/>
          <w:highlight w:val="none"/>
          <w:lang w:eastAsia="zh-CN"/>
        </w:rPr>
        <w:t>：</w:t>
      </w:r>
      <w:r>
        <w:rPr>
          <w:color w:val="auto"/>
          <w:highlight w:val="none"/>
        </w:rPr>
        <w:t>丘陵</w:t>
      </w:r>
      <w:r>
        <w:rPr>
          <w:rFonts w:hint="eastAsia"/>
          <w:color w:val="auto"/>
          <w:highlight w:val="none"/>
          <w:lang w:eastAsia="zh-CN"/>
        </w:rPr>
        <w:t>：</w:t>
      </w:r>
      <w:r>
        <w:rPr>
          <w:color w:val="auto"/>
          <w:highlight w:val="none"/>
        </w:rPr>
        <w:t>山地为1</w:t>
      </w:r>
      <w:r>
        <w:rPr>
          <w:rFonts w:hint="eastAsia"/>
          <w:color w:val="auto"/>
          <w:highlight w:val="none"/>
          <w:lang w:eastAsia="zh-CN"/>
        </w:rPr>
        <w:t>：</w:t>
      </w:r>
      <w:r>
        <w:rPr>
          <w:color w:val="auto"/>
          <w:highlight w:val="none"/>
        </w:rPr>
        <w:t>4.91</w:t>
      </w:r>
      <w:r>
        <w:rPr>
          <w:rFonts w:hint="eastAsia"/>
          <w:color w:val="auto"/>
          <w:highlight w:val="none"/>
          <w:lang w:eastAsia="zh-CN"/>
        </w:rPr>
        <w:t>：</w:t>
      </w:r>
      <w:r>
        <w:rPr>
          <w:color w:val="auto"/>
          <w:highlight w:val="none"/>
        </w:rPr>
        <w:t>6.45</w:t>
      </w:r>
      <w:r>
        <w:rPr>
          <w:rFonts w:hint="eastAsia"/>
          <w:color w:val="auto"/>
          <w:highlight w:val="none"/>
          <w:lang w:eastAsia="zh-CN"/>
        </w:rPr>
        <w:t>：</w:t>
      </w:r>
      <w:r>
        <w:rPr>
          <w:color w:val="auto"/>
          <w:highlight w:val="none"/>
        </w:rPr>
        <w:t>6.25</w:t>
      </w:r>
      <w:r>
        <w:rPr>
          <w:rFonts w:hint="eastAsia"/>
          <w:color w:val="auto"/>
          <w:highlight w:val="none"/>
          <w:lang w:eastAsia="zh-CN"/>
        </w:rPr>
        <w:t>：</w:t>
      </w:r>
      <w:r>
        <w:rPr>
          <w:color w:val="auto"/>
          <w:highlight w:val="none"/>
        </w:rPr>
        <w:t>4.99。境内山地以低山、中低山为主，多分布于市境边缘</w:t>
      </w:r>
      <w:r>
        <w:rPr>
          <w:rFonts w:hint="eastAsia"/>
          <w:color w:val="auto"/>
          <w:highlight w:val="none"/>
          <w:lang w:eastAsia="zh-CN"/>
        </w:rPr>
        <w:t>；</w:t>
      </w:r>
      <w:r>
        <w:rPr>
          <w:color w:val="auto"/>
          <w:highlight w:val="none"/>
        </w:rPr>
        <w:t>丘陵多分布于盆地边缘山地内侧的的山麓和盆地中部，是山地向岗平的过度地带;岗地则以红土壤和紫色砂岩为主，岗平交错成网络壮展布，分布在海拨150 m以下，目前大部分被垦为</w:t>
      </w:r>
      <w:r>
        <w:rPr>
          <w:rFonts w:hint="eastAsia"/>
          <w:color w:val="auto"/>
          <w:highlight w:val="none"/>
          <w:lang w:val="en-US" w:eastAsia="zh-CN"/>
        </w:rPr>
        <w:t>旱</w:t>
      </w:r>
      <w:r>
        <w:rPr>
          <w:color w:val="auto"/>
          <w:highlight w:val="none"/>
        </w:rPr>
        <w:t>土，未垦殖的多为荒地，水土流失严重。平原以溪谷平原为主，占平原面积的61%，呈树枝状分布在沿河两岸，水土流失轻微。途径地区的地形地貌以丘陵、岗地、平原为主。</w:t>
      </w:r>
    </w:p>
    <w:p>
      <w:pPr>
        <w:bidi w:val="0"/>
        <w:rPr>
          <w:color w:val="auto"/>
          <w:highlight w:val="none"/>
        </w:rPr>
      </w:pPr>
      <w:r>
        <w:rPr>
          <w:color w:val="auto"/>
          <w:highlight w:val="none"/>
        </w:rPr>
        <w:t>项目区地形起伏较小，地面较平坦，水土流失轻度，西南角为整个地块的最高点，标高为89.5~-90.2</w:t>
      </w:r>
      <w:r>
        <w:rPr>
          <w:rFonts w:hint="eastAsia"/>
          <w:color w:val="auto"/>
          <w:highlight w:val="none"/>
          <w:lang w:val="en-US" w:eastAsia="zh-CN"/>
        </w:rPr>
        <w:t>m</w:t>
      </w:r>
      <w:r>
        <w:rPr>
          <w:color w:val="auto"/>
          <w:highlight w:val="none"/>
        </w:rPr>
        <w:t>(绝对标高)。东北角为整个地块的最低点，标高为66.2~67.8m(绝对标高)。A区征地范围内，南邻衡州大道:B、C区征地范围内，为居民住宅区及商业区。</w:t>
      </w:r>
    </w:p>
    <w:p>
      <w:pPr>
        <w:numPr>
          <w:ilvl w:val="0"/>
          <w:numId w:val="1"/>
        </w:numPr>
        <w:bidi w:val="0"/>
        <w:rPr>
          <w:color w:val="auto"/>
          <w:highlight w:val="none"/>
        </w:rPr>
      </w:pPr>
      <w:r>
        <w:rPr>
          <w:color w:val="auto"/>
          <w:highlight w:val="none"/>
        </w:rPr>
        <w:t>水文</w:t>
      </w:r>
    </w:p>
    <w:p>
      <w:pPr>
        <w:bidi w:val="0"/>
        <w:rPr>
          <w:color w:val="auto"/>
          <w:highlight w:val="none"/>
        </w:rPr>
      </w:pPr>
      <w:r>
        <w:rPr>
          <w:color w:val="auto"/>
          <w:highlight w:val="none"/>
        </w:rPr>
        <w:t>项目区系湘江水系。据衡阳水文站统计资料，湘江流域集水面积521507 km</w:t>
      </w:r>
      <w:r>
        <w:rPr>
          <w:rFonts w:hint="eastAsia"/>
          <w:color w:val="auto"/>
          <w:highlight w:val="none"/>
          <w:lang w:val="en-US" w:eastAsia="zh-CN"/>
        </w:rPr>
        <w:t>2</w:t>
      </w:r>
      <w:r>
        <w:rPr>
          <w:color w:val="auto"/>
          <w:highlight w:val="none"/>
        </w:rPr>
        <w:t>，多年平均水位48.73m，大原渡电站建成后，水位相对提高2 m左右，多年平均流量5372 m</w:t>
      </w:r>
      <w:r>
        <w:rPr>
          <w:rFonts w:hint="eastAsia"/>
          <w:color w:val="auto"/>
          <w:highlight w:val="none"/>
          <w:lang w:val="en-US" w:eastAsia="zh-CN"/>
        </w:rPr>
        <w:t>3</w:t>
      </w:r>
      <w:r>
        <w:rPr>
          <w:color w:val="auto"/>
          <w:highlight w:val="none"/>
        </w:rPr>
        <w:t>/s，多年平均径流量为418.07亿m</w:t>
      </w:r>
      <w:r>
        <w:rPr>
          <w:rFonts w:hint="eastAsia"/>
          <w:color w:val="auto"/>
          <w:highlight w:val="none"/>
          <w:lang w:val="en-US" w:eastAsia="zh-CN"/>
        </w:rPr>
        <w:t>3</w:t>
      </w:r>
      <w:r>
        <w:rPr>
          <w:color w:val="auto"/>
          <w:highlight w:val="none"/>
        </w:rPr>
        <w:t>，含沙量0.068kg/m</w:t>
      </w:r>
      <w:r>
        <w:rPr>
          <w:rFonts w:hint="eastAsia"/>
          <w:color w:val="auto"/>
          <w:highlight w:val="none"/>
          <w:lang w:val="en-US" w:eastAsia="zh-CN"/>
        </w:rPr>
        <w:t>3</w:t>
      </w:r>
      <w:r>
        <w:rPr>
          <w:color w:val="auto"/>
          <w:highlight w:val="none"/>
        </w:rPr>
        <w:t>，洪水期一般出现在5月，枯水期一般出现在1月。</w:t>
      </w:r>
    </w:p>
    <w:p>
      <w:pPr>
        <w:bidi w:val="0"/>
        <w:rPr>
          <w:rFonts w:hint="eastAsia"/>
          <w:color w:val="auto"/>
          <w:highlight w:val="none"/>
          <w:lang w:val="en-US" w:eastAsia="zh-CN"/>
        </w:rPr>
      </w:pPr>
      <w:r>
        <w:rPr>
          <w:color w:val="auto"/>
          <w:highlight w:val="none"/>
        </w:rPr>
        <w:t>统计1950</w:t>
      </w:r>
      <w:r>
        <w:rPr>
          <w:rFonts w:hint="eastAsia"/>
          <w:color w:val="auto"/>
          <w:highlight w:val="none"/>
          <w:lang w:val="en-US" w:eastAsia="zh-CN"/>
        </w:rPr>
        <w:t>~</w:t>
      </w:r>
      <w:r>
        <w:rPr>
          <w:color w:val="auto"/>
          <w:highlight w:val="none"/>
        </w:rPr>
        <w:t>2010年实测成果，其降雨年际、年内分配极不均匀，年内雨季(3</w:t>
      </w:r>
      <w:r>
        <w:rPr>
          <w:rFonts w:hint="eastAsia"/>
          <w:color w:val="auto"/>
          <w:highlight w:val="none"/>
          <w:lang w:val="en-US" w:eastAsia="zh-CN"/>
        </w:rPr>
        <w:t>~</w:t>
      </w:r>
      <w:r>
        <w:rPr>
          <w:color w:val="auto"/>
          <w:highlight w:val="none"/>
        </w:rPr>
        <w:t>8月)降雨量占全年的68.2</w:t>
      </w:r>
      <w:r>
        <w:rPr>
          <w:rFonts w:hint="eastAsia"/>
          <w:color w:val="auto"/>
          <w:highlight w:val="none"/>
          <w:lang w:val="en-US" w:eastAsia="zh-CN"/>
        </w:rPr>
        <w:t>%，</w:t>
      </w:r>
      <w:r>
        <w:rPr>
          <w:color w:val="auto"/>
          <w:highlight w:val="none"/>
        </w:rPr>
        <w:t>年最大与最小雨量相差8</w:t>
      </w:r>
      <w:r>
        <w:rPr>
          <w:rFonts w:hint="eastAsia"/>
          <w:color w:val="auto"/>
          <w:highlight w:val="none"/>
          <w:lang w:val="en-US" w:eastAsia="zh-CN"/>
        </w:rPr>
        <w:t>8</w:t>
      </w:r>
      <w:r>
        <w:rPr>
          <w:color w:val="auto"/>
          <w:highlight w:val="none"/>
        </w:rPr>
        <w:t>7 m</w:t>
      </w:r>
      <w:r>
        <w:rPr>
          <w:rFonts w:hint="eastAsia"/>
          <w:color w:val="auto"/>
          <w:highlight w:val="none"/>
          <w:lang w:val="en-US" w:eastAsia="zh-CN"/>
        </w:rPr>
        <w:t>m。</w:t>
      </w:r>
      <w:r>
        <w:rPr>
          <w:color w:val="auto"/>
          <w:highlight w:val="none"/>
        </w:rPr>
        <w:t>实测最大24小时暴雨外197.5m</w:t>
      </w:r>
      <w:r>
        <w:rPr>
          <w:rFonts w:hint="eastAsia"/>
          <w:color w:val="auto"/>
          <w:highlight w:val="none"/>
          <w:lang w:val="en-US" w:eastAsia="zh-CN"/>
        </w:rPr>
        <w:t>m</w:t>
      </w:r>
      <w:r>
        <w:rPr>
          <w:color w:val="auto"/>
          <w:highlight w:val="none"/>
        </w:rPr>
        <w:t>,3日暴雨307.5 m</w:t>
      </w:r>
      <w:r>
        <w:rPr>
          <w:rFonts w:hint="eastAsia"/>
          <w:color w:val="auto"/>
          <w:highlight w:val="none"/>
          <w:lang w:val="en-US" w:eastAsia="zh-CN"/>
        </w:rPr>
        <w:t>m。</w:t>
      </w:r>
    </w:p>
    <w:p>
      <w:pPr>
        <w:numPr>
          <w:ilvl w:val="0"/>
          <w:numId w:val="1"/>
        </w:numPr>
        <w:bidi w:val="0"/>
        <w:ind w:left="0" w:leftChars="0" w:firstLine="480" w:firstLineChars="200"/>
        <w:rPr>
          <w:color w:val="auto"/>
          <w:highlight w:val="none"/>
        </w:rPr>
      </w:pPr>
      <w:r>
        <w:rPr>
          <w:color w:val="auto"/>
          <w:highlight w:val="none"/>
        </w:rPr>
        <w:t>地质地震</w:t>
      </w:r>
    </w:p>
    <w:p>
      <w:pPr>
        <w:bidi w:val="0"/>
        <w:rPr>
          <w:color w:val="auto"/>
          <w:highlight w:val="none"/>
        </w:rPr>
      </w:pPr>
      <w:r>
        <w:rPr>
          <w:color w:val="auto"/>
          <w:highlight w:val="none"/>
        </w:rPr>
        <w:t>项目位于衡阳盆地中部，有白垩系与第三系地层沉积厚度大于90</w:t>
      </w:r>
      <w:r>
        <w:rPr>
          <w:rFonts w:hint="eastAsia"/>
          <w:color w:val="auto"/>
          <w:highlight w:val="none"/>
          <w:lang w:val="en-US" w:eastAsia="zh-CN"/>
        </w:rPr>
        <w:t>00</w:t>
      </w:r>
      <w:r>
        <w:rPr>
          <w:color w:val="auto"/>
          <w:highlight w:val="none"/>
        </w:rPr>
        <w:t>m，盖层中断裂构造不甚发育，地层产状平缓，一般0</w:t>
      </w:r>
      <w:r>
        <w:rPr>
          <w:rFonts w:hint="eastAsia"/>
          <w:color w:val="auto"/>
          <w:highlight w:val="none"/>
          <w:lang w:val="en-US" w:eastAsia="zh-CN"/>
        </w:rPr>
        <w:t>~</w:t>
      </w:r>
      <w:r>
        <w:rPr>
          <w:color w:val="auto"/>
          <w:highlight w:val="none"/>
        </w:rPr>
        <w:t>15</w:t>
      </w:r>
      <w:r>
        <w:rPr>
          <w:rFonts w:hint="eastAsia"/>
          <w:color w:val="auto"/>
          <w:highlight w:val="none"/>
          <w:lang w:val="en-US" w:eastAsia="zh-CN"/>
        </w:rPr>
        <w:t>°</w:t>
      </w:r>
      <w:r>
        <w:rPr>
          <w:color w:val="auto"/>
          <w:highlight w:val="none"/>
        </w:rPr>
        <w:t>左右，构成宽缓的背向斜，区域构造形迹主要有出露于该区西北部的衡山</w:t>
      </w:r>
      <w:r>
        <w:rPr>
          <w:rFonts w:hint="eastAsia"/>
          <w:color w:val="auto"/>
          <w:highlight w:val="none"/>
          <w:lang w:eastAsia="zh-CN"/>
        </w:rPr>
        <w:t>——</w:t>
      </w:r>
      <w:r>
        <w:rPr>
          <w:color w:val="auto"/>
          <w:highlight w:val="none"/>
        </w:rPr>
        <w:t>排山断裂带，距该区20 km,主要断裂有北东向八井田</w:t>
      </w:r>
      <w:r>
        <w:rPr>
          <w:rFonts w:hint="eastAsia"/>
          <w:color w:val="auto"/>
          <w:highlight w:val="none"/>
          <w:lang w:eastAsia="zh-CN"/>
        </w:rPr>
        <w:t>—</w:t>
      </w:r>
      <w:r>
        <w:rPr>
          <w:color w:val="auto"/>
          <w:highlight w:val="none"/>
        </w:rPr>
        <w:t>白鹭坳断裂，鱼子塘断裂，瓦瑶田断裂，断层面倾向北西。东南部有衡东</w:t>
      </w:r>
      <w:r>
        <w:rPr>
          <w:rFonts w:hint="eastAsia"/>
          <w:color w:val="auto"/>
          <w:highlight w:val="none"/>
          <w:lang w:eastAsia="zh-CN"/>
        </w:rPr>
        <w:t>—</w:t>
      </w:r>
      <w:r>
        <w:rPr>
          <w:color w:val="auto"/>
          <w:highlight w:val="none"/>
        </w:rPr>
        <w:t>茅桐桥断湖裂带，距该区约10</w:t>
      </w:r>
      <w:r>
        <w:rPr>
          <w:rFonts w:hint="eastAsia"/>
          <w:color w:val="auto"/>
          <w:highlight w:val="none"/>
          <w:lang w:val="en-US" w:eastAsia="zh-CN"/>
        </w:rPr>
        <w:t>~</w:t>
      </w:r>
      <w:r>
        <w:rPr>
          <w:color w:val="auto"/>
          <w:highlight w:val="none"/>
        </w:rPr>
        <w:t>15 kn。主要断裂有洪山庙断裂、樟树湾断裂、毛雅冲断裂等。以上山两北东向断裂带在加里东期即已形成，印支、燕山至喜山期均有活动，具有多次活动的造特点，在红层中可见该组断裂的出露。项目区内断裂构造不发育。</w:t>
      </w:r>
    </w:p>
    <w:p>
      <w:pPr>
        <w:bidi w:val="0"/>
        <w:rPr>
          <w:color w:val="auto"/>
          <w:highlight w:val="none"/>
        </w:rPr>
      </w:pPr>
      <w:r>
        <w:rPr>
          <w:color w:val="auto"/>
          <w:highlight w:val="none"/>
        </w:rPr>
        <w:t>根据已获得资料和现场观察，衡阳盆地内总体上新构造运动欠发育，项目区新构造形迹不发育，属相对稳定区。从地貌景观来看，表观为构造剥蚀红色丘陵地貌。第四系形成多级阶地，表明第四纪以来为相对稳定拾升的构造特征。</w:t>
      </w:r>
    </w:p>
    <w:p>
      <w:pPr>
        <w:bidi w:val="0"/>
        <w:rPr>
          <w:color w:val="auto"/>
          <w:highlight w:val="none"/>
        </w:rPr>
      </w:pPr>
      <w:r>
        <w:rPr>
          <w:color w:val="auto"/>
          <w:highlight w:val="none"/>
        </w:rPr>
        <w:t>据历史和近期资料已载，衡阳地区曾先后发生过有感地震100余次，轻微地震5次。据湖南省地</w:t>
      </w:r>
      <w:r>
        <w:rPr>
          <w:rFonts w:hint="eastAsia"/>
          <w:color w:val="auto"/>
          <w:highlight w:val="none"/>
          <w:lang w:val="en-US" w:eastAsia="zh-CN"/>
        </w:rPr>
        <w:t>震队</w:t>
      </w:r>
      <w:r>
        <w:rPr>
          <w:color w:val="auto"/>
          <w:highlight w:val="none"/>
        </w:rPr>
        <w:t>1976年资料，认为界牌至盐田桥区域性大断裂(为区域性长寿街</w:t>
      </w:r>
      <w:r>
        <w:rPr>
          <w:rFonts w:hint="eastAsia"/>
          <w:color w:val="auto"/>
          <w:highlight w:val="none"/>
          <w:lang w:eastAsia="zh-CN"/>
        </w:rPr>
        <w:t>—</w:t>
      </w:r>
      <w:r>
        <w:rPr>
          <w:color w:val="auto"/>
          <w:highlight w:val="none"/>
        </w:rPr>
        <w:t>观音</w:t>
      </w:r>
      <w:r>
        <w:rPr>
          <w:rFonts w:hint="eastAsia"/>
          <w:color w:val="auto"/>
          <w:highlight w:val="none"/>
          <w:lang w:val="en-US" w:eastAsia="zh-CN"/>
        </w:rPr>
        <w:t>阁深大断</w:t>
      </w:r>
      <w:r>
        <w:rPr>
          <w:color w:val="auto"/>
          <w:highlight w:val="none"/>
        </w:rPr>
        <w:t>裂)系</w:t>
      </w:r>
      <w:r>
        <w:rPr>
          <w:rFonts w:hint="eastAsia"/>
          <w:color w:val="auto"/>
          <w:highlight w:val="none"/>
          <w:lang w:val="en-US" w:eastAsia="zh-CN"/>
        </w:rPr>
        <w:t>活</w:t>
      </w:r>
      <w:r>
        <w:rPr>
          <w:color w:val="auto"/>
          <w:highlight w:val="none"/>
        </w:rPr>
        <w:t>动性，</w:t>
      </w:r>
      <w:r>
        <w:rPr>
          <w:rFonts w:hint="eastAsia"/>
          <w:color w:val="auto"/>
          <w:highlight w:val="none"/>
          <w:lang w:val="en-US" w:eastAsia="zh-CN"/>
        </w:rPr>
        <w:t>并</w:t>
      </w:r>
      <w:r>
        <w:rPr>
          <w:color w:val="auto"/>
          <w:highlight w:val="none"/>
        </w:rPr>
        <w:t>在西</w:t>
      </w:r>
      <w:r>
        <w:rPr>
          <w:rFonts w:hint="eastAsia"/>
          <w:color w:val="auto"/>
          <w:highlight w:val="none"/>
          <w:lang w:val="en-US" w:eastAsia="zh-CN"/>
        </w:rPr>
        <w:t>渡</w:t>
      </w:r>
      <w:r>
        <w:rPr>
          <w:color w:val="auto"/>
          <w:highlight w:val="none"/>
        </w:rPr>
        <w:t>北东出现</w:t>
      </w:r>
      <w:r>
        <w:rPr>
          <w:rFonts w:hint="eastAsia"/>
          <w:color w:val="auto"/>
          <w:highlight w:val="none"/>
          <w:lang w:val="en-US" w:eastAsia="zh-CN"/>
        </w:rPr>
        <w:t>震</w:t>
      </w:r>
      <w:r>
        <w:rPr>
          <w:color w:val="auto"/>
          <w:highlight w:val="none"/>
        </w:rPr>
        <w:t>中位置。此断裂在该区西北部相距约40 km</w:t>
      </w:r>
      <w:r>
        <w:rPr>
          <w:rFonts w:hint="eastAsia"/>
          <w:color w:val="auto"/>
          <w:highlight w:val="none"/>
          <w:lang w:eastAsia="zh-CN"/>
        </w:rPr>
        <w:t>。</w:t>
      </w:r>
      <w:r>
        <w:rPr>
          <w:color w:val="auto"/>
          <w:highlight w:val="none"/>
        </w:rPr>
        <w:t>另据《湖南省地震区划图》(190年版)，该</w:t>
      </w:r>
      <w:r>
        <w:rPr>
          <w:rFonts w:hint="eastAsia"/>
          <w:color w:val="auto"/>
          <w:highlight w:val="none"/>
          <w:lang w:val="en-US" w:eastAsia="zh-CN"/>
        </w:rPr>
        <w:t>区</w:t>
      </w:r>
      <w:r>
        <w:rPr>
          <w:color w:val="auto"/>
          <w:highlight w:val="none"/>
        </w:rPr>
        <w:t>地震基木烈度低于</w:t>
      </w:r>
      <w:r>
        <w:rPr>
          <w:rFonts w:hint="eastAsia"/>
          <w:color w:val="auto"/>
          <w:highlight w:val="none"/>
          <w:lang w:val="en-US" w:eastAsia="zh-CN"/>
        </w:rPr>
        <w:t>Ⅵ</w:t>
      </w:r>
      <w:r>
        <w:rPr>
          <w:color w:val="auto"/>
          <w:highlight w:val="none"/>
        </w:rPr>
        <w:t>度。据《中国地震动参数区划图》(GB18306</w:t>
      </w:r>
      <w:r>
        <w:rPr>
          <w:rFonts w:hint="eastAsia"/>
          <w:color w:val="auto"/>
          <w:highlight w:val="none"/>
          <w:lang w:val="en-US" w:eastAsia="zh-CN"/>
        </w:rPr>
        <w:t>-</w:t>
      </w:r>
      <w:r>
        <w:rPr>
          <w:color w:val="auto"/>
          <w:highlight w:val="none"/>
        </w:rPr>
        <w:t>001)项目区内地震动峰值加速度Q&lt;0.058</w:t>
      </w:r>
      <w:r>
        <w:rPr>
          <w:rFonts w:hint="eastAsia"/>
          <w:color w:val="auto"/>
          <w:highlight w:val="none"/>
          <w:lang w:eastAsia="zh-CN"/>
        </w:rPr>
        <w:t>，</w:t>
      </w:r>
      <w:r>
        <w:rPr>
          <w:color w:val="auto"/>
          <w:highlight w:val="none"/>
        </w:rPr>
        <w:t>地震动反应谱特周期为0.35s。因此，本项目建筑物抗震设防裂度为</w:t>
      </w:r>
      <w:r>
        <w:rPr>
          <w:rFonts w:hint="eastAsia"/>
          <w:color w:val="auto"/>
          <w:highlight w:val="none"/>
          <w:lang w:val="en-US" w:eastAsia="zh-CN"/>
        </w:rPr>
        <w:t>Ⅵ</w:t>
      </w:r>
      <w:r>
        <w:rPr>
          <w:color w:val="auto"/>
          <w:highlight w:val="none"/>
        </w:rPr>
        <w:t>度</w:t>
      </w:r>
      <w:r>
        <w:rPr>
          <w:rFonts w:hint="eastAsia"/>
          <w:color w:val="auto"/>
          <w:highlight w:val="none"/>
          <w:lang w:eastAsia="zh-CN"/>
        </w:rPr>
        <w:t>。</w:t>
      </w:r>
      <w:r>
        <w:rPr>
          <w:rFonts w:hint="eastAsia"/>
          <w:color w:val="auto"/>
          <w:highlight w:val="none"/>
          <w:lang w:val="en-US" w:eastAsia="zh-CN"/>
        </w:rPr>
        <w:t>20</w:t>
      </w:r>
      <w:r>
        <w:rPr>
          <w:color w:val="auto"/>
          <w:highlight w:val="none"/>
        </w:rPr>
        <w:t>03年发生在湘潭和衡阳交界的衡潭地震及2005年11月26日江西九江一带发生的5.7级地震没有波及到本区。项目区属于地震波及区，经现场调查及分析前人资料，区内来发现地震遗迹，地震对工程建设危险小。</w:t>
      </w:r>
    </w:p>
    <w:p>
      <w:pPr>
        <w:bidi w:val="0"/>
        <w:rPr>
          <w:rFonts w:hint="eastAsia"/>
          <w:color w:val="auto"/>
          <w:highlight w:val="none"/>
          <w:lang w:eastAsia="zh-CN"/>
        </w:rPr>
      </w:pPr>
      <w:r>
        <w:rPr>
          <w:color w:val="auto"/>
          <w:highlight w:val="none"/>
        </w:rPr>
        <w:t>总之，区内出露的地层为第四系全新统、更新统及第三纪茶山坳组地层，地层岩性稳定</w:t>
      </w:r>
      <w:r>
        <w:rPr>
          <w:rFonts w:hint="eastAsia"/>
          <w:color w:val="auto"/>
          <w:highlight w:val="none"/>
          <w:lang w:eastAsia="zh-CN"/>
        </w:rPr>
        <w:t>；</w:t>
      </w:r>
      <w:r>
        <w:rPr>
          <w:color w:val="auto"/>
          <w:highlight w:val="none"/>
        </w:rPr>
        <w:t>区内地质构造不发育</w:t>
      </w:r>
      <w:r>
        <w:rPr>
          <w:rFonts w:hint="eastAsia"/>
          <w:color w:val="auto"/>
          <w:highlight w:val="none"/>
          <w:lang w:eastAsia="zh-CN"/>
        </w:rPr>
        <w:t>；</w:t>
      </w:r>
      <w:r>
        <w:rPr>
          <w:color w:val="auto"/>
          <w:highlight w:val="none"/>
        </w:rPr>
        <w:t>新构造形迹不发育，区域地壳稳定性稳定</w:t>
      </w:r>
      <w:r>
        <w:rPr>
          <w:rFonts w:hint="eastAsia"/>
          <w:color w:val="auto"/>
          <w:highlight w:val="none"/>
          <w:lang w:eastAsia="zh-CN"/>
        </w:rPr>
        <w:t>。</w:t>
      </w:r>
    </w:p>
    <w:p>
      <w:pPr>
        <w:numPr>
          <w:ilvl w:val="0"/>
          <w:numId w:val="1"/>
        </w:numPr>
        <w:bidi w:val="0"/>
        <w:ind w:left="0" w:leftChars="0" w:firstLine="480" w:firstLineChars="200"/>
        <w:rPr>
          <w:color w:val="auto"/>
          <w:highlight w:val="none"/>
        </w:rPr>
      </w:pPr>
      <w:r>
        <w:rPr>
          <w:color w:val="auto"/>
          <w:highlight w:val="none"/>
        </w:rPr>
        <w:t>土壤植被</w:t>
      </w:r>
    </w:p>
    <w:p>
      <w:pPr>
        <w:bidi w:val="0"/>
        <w:rPr>
          <w:rFonts w:hint="eastAsia"/>
          <w:color w:val="auto"/>
          <w:highlight w:val="none"/>
          <w:lang w:eastAsia="zh-CN"/>
        </w:rPr>
      </w:pPr>
      <w:r>
        <w:rPr>
          <w:color w:val="auto"/>
          <w:highlight w:val="none"/>
        </w:rPr>
        <w:t>项目所在区域衡阳市土壤资源丰富，有地带性土壤山地草甸土、黄棕壤、黄壤、红壤和非地带性土壤黑色石灰土、红色石灰土、紫色土、水稻土、河潮土等9个土类。20个亚类，85个土属，261个土种，11</w:t>
      </w:r>
      <w:r>
        <w:rPr>
          <w:rFonts w:hint="eastAsia"/>
          <w:color w:val="auto"/>
          <w:highlight w:val="none"/>
          <w:lang w:val="en-US" w:eastAsia="zh-CN"/>
        </w:rPr>
        <w:t>1</w:t>
      </w:r>
      <w:r>
        <w:rPr>
          <w:color w:val="auto"/>
          <w:highlight w:val="none"/>
        </w:rPr>
        <w:t>个变种。其中以红壤、紫色土、水稻土面积较大，分布甚广，利用率最高。衡阳市全市土壤地域性分布大体是红壤呈带状或斑块分布，紫色土多呈网络壮集中于盆地中部，水稻土呈树枝状展布于海拔200米以下的岗平河谷地带，河潮土呈树枝形分布于开阔地形的沿河两岸。四季红</w:t>
      </w:r>
      <w:r>
        <w:rPr>
          <w:rFonts w:hint="eastAsia"/>
          <w:color w:val="auto"/>
          <w:highlight w:val="none"/>
          <w:lang w:val="en-US" w:eastAsia="zh-CN"/>
        </w:rPr>
        <w:t>土</w:t>
      </w:r>
      <w:r>
        <w:rPr>
          <w:color w:val="auto"/>
          <w:highlight w:val="none"/>
        </w:rPr>
        <w:t>红壤则多呈馒头形的星点状覆盖于紫色砂页岩之上</w:t>
      </w:r>
      <w:r>
        <w:rPr>
          <w:rFonts w:hint="eastAsia"/>
          <w:color w:val="auto"/>
          <w:highlight w:val="none"/>
          <w:lang w:eastAsia="zh-CN"/>
        </w:rPr>
        <w:t>。</w:t>
      </w:r>
    </w:p>
    <w:p>
      <w:pPr>
        <w:bidi w:val="0"/>
        <w:rPr>
          <w:color w:val="auto"/>
          <w:highlight w:val="none"/>
        </w:rPr>
      </w:pPr>
      <w:r>
        <w:rPr>
          <w:color w:val="auto"/>
          <w:highlight w:val="none"/>
        </w:rPr>
        <w:t>本项目所在地衡阳市地处亚热带常绿阔叶林带，植被资源丰富。项目区土壤肥沃，光、热、水条件好，适宜经济作物及柑橘等果品的生长。项目区属中亚热带湘中丘陵常绿阔叶林区，由于长期的人为经营活动影响，境内的典型原生植被已不存在，现除少数山谷、低坡、村旁残留少量的常绿阔叶林外，多代逆向演替而产生的马尾松林及人工营造的杉木林、竹林、柑橘等经济林遍布全境各地。山地气候温和，是营造用材林的黄金地带。现有木本植物99科342属1047种，其中珍惜树种12种，另有优良乡土树种20科120种;草本资源丰富，共有49科170种，另有药用植物500多种，花卉240种。现有植被组成以人工针叶林为主，天然次生植被较少。主要优势树种为油茶、马尾松、湿地松、火炬松、杉木:天然次生林优势树种有樟科、壳斗科、山茶科、豆科、蔷薇科、冬青科、胡桃科、杜鹃科等树种。项目区由于自然条件各要素数量、组合方式的不同，造成植被分布分异明显。</w:t>
      </w:r>
    </w:p>
    <w:p>
      <w:pPr>
        <w:bidi w:val="0"/>
        <w:rPr>
          <w:rFonts w:hint="default" w:ascii="宋体" w:hAnsi="宋体" w:eastAsia="宋体" w:cs="宋体"/>
          <w:color w:val="auto"/>
          <w:szCs w:val="24"/>
          <w:highlight w:val="none"/>
          <w:lang w:val="en-US" w:eastAsia="zh-CN"/>
        </w:rPr>
      </w:pPr>
      <w:r>
        <w:rPr>
          <w:rFonts w:hint="eastAsia"/>
          <w:color w:val="auto"/>
          <w:highlight w:val="none"/>
          <w:lang w:val="en-US" w:eastAsia="zh-CN"/>
        </w:rPr>
        <w:t>项目区属于亚热带季风湿润气候区，亚热带常绿阔叶林带，区域内植被以人工林、次生植被和人工绿化林草为主。地表植被覆盖一般，地势平坦，水土流失较轻。征地范围林地植被覆盖率约为12%。</w:t>
      </w:r>
    </w:p>
    <w:p>
      <w:pPr>
        <w:bidi w:val="0"/>
        <w:rPr>
          <w:rFonts w:hint="eastAsia"/>
          <w:color w:val="auto"/>
          <w:highlight w:val="none"/>
        </w:rPr>
      </w:pPr>
      <w:r>
        <w:rPr>
          <w:rFonts w:hint="eastAsia"/>
          <w:color w:val="auto"/>
          <w:highlight w:val="none"/>
          <w:lang w:val="en-US" w:eastAsia="zh-CN"/>
        </w:rPr>
        <w:t>6、</w:t>
      </w:r>
      <w:r>
        <w:rPr>
          <w:rFonts w:hint="eastAsia"/>
          <w:color w:val="auto"/>
          <w:highlight w:val="none"/>
        </w:rPr>
        <w:t xml:space="preserve">水土流失现状 </w:t>
      </w:r>
    </w:p>
    <w:p>
      <w:pPr>
        <w:bidi w:val="0"/>
        <w:rPr>
          <w:rFonts w:hint="default" w:eastAsia="仿宋_GB2312"/>
          <w:color w:val="auto"/>
          <w:highlight w:val="none"/>
          <w:lang w:val="en-US" w:eastAsia="zh-CN"/>
        </w:rPr>
      </w:pPr>
      <w:r>
        <w:rPr>
          <w:color w:val="auto"/>
          <w:highlight w:val="none"/>
        </w:rPr>
        <w:t>根据《土壤侵蚀分类分级标准》(SL190-2007)中土壤侵蚀强度分类分级标准，在全国土壤侵蚀类型区划上，项目所在地衡阳市境内水土流失以水蚀为主，水蚀又以面蚀为主，沟蚀为次的类型区中的南方红壤丘陵区，面蚀多发生在6</w:t>
      </w:r>
      <w:r>
        <w:rPr>
          <w:rFonts w:hint="eastAsia"/>
          <w:color w:val="auto"/>
          <w:highlight w:val="none"/>
          <w:lang w:val="en-US" w:eastAsia="zh-CN"/>
        </w:rPr>
        <w:t>°</w:t>
      </w:r>
      <w:r>
        <w:rPr>
          <w:color w:val="auto"/>
          <w:highlight w:val="none"/>
        </w:rPr>
        <w:t>以上15°以下的坡耕地和疏林地</w:t>
      </w:r>
      <w:r>
        <w:rPr>
          <w:rFonts w:hint="eastAsia"/>
          <w:color w:val="auto"/>
          <w:highlight w:val="none"/>
          <w:lang w:eastAsia="zh-CN"/>
        </w:rPr>
        <w:t>；</w:t>
      </w:r>
      <w:r>
        <w:rPr>
          <w:color w:val="auto"/>
          <w:highlight w:val="none"/>
        </w:rPr>
        <w:t>沟蚀发生在15°以上的果林、幼林地、荒山荒坡。网状侵蚀也较严重，特别是在地表被破坏后，坡地水蚀更为强烈，尤以花岗岩、紫色页岩地区更为明显。人畜干扰，樵柴过度，坡面垦种，加速了水土流失</w:t>
      </w:r>
      <w:r>
        <w:rPr>
          <w:rFonts w:hint="eastAsia"/>
          <w:color w:val="auto"/>
          <w:highlight w:val="none"/>
          <w:lang w:eastAsia="zh-CN"/>
        </w:rPr>
        <w:t>；</w:t>
      </w:r>
      <w:r>
        <w:rPr>
          <w:color w:val="auto"/>
          <w:highlight w:val="none"/>
        </w:rPr>
        <w:t>开矿及各项生产发展，基本建设规模加大，也加重水土流失。其土壤容许流失量为500 t/km</w:t>
      </w:r>
      <w:r>
        <w:rPr>
          <w:rFonts w:hint="eastAsia"/>
          <w:color w:val="auto"/>
          <w:highlight w:val="none"/>
          <w:lang w:val="en-US" w:eastAsia="zh-CN"/>
        </w:rPr>
        <w:t>2</w:t>
      </w:r>
      <w:r>
        <w:rPr>
          <w:rFonts w:hint="eastAsia" w:ascii="仿宋_GB2312" w:hAnsi="仿宋_GB2312" w:eastAsia="仿宋_GB2312" w:cs="仿宋_GB2312"/>
          <w:color w:val="auto"/>
          <w:sz w:val="18"/>
          <w:szCs w:val="18"/>
          <w:highlight w:val="none"/>
          <w:lang w:val="en-US" w:eastAsia="zh-CN"/>
        </w:rPr>
        <w:t>·</w:t>
      </w:r>
      <w:r>
        <w:rPr>
          <w:color w:val="auto"/>
          <w:highlight w:val="none"/>
        </w:rPr>
        <w:t>a</w:t>
      </w:r>
      <w:r>
        <w:rPr>
          <w:rFonts w:hint="eastAsia"/>
          <w:color w:val="auto"/>
          <w:highlight w:val="none"/>
          <w:lang w:eastAsia="zh-CN"/>
        </w:rPr>
        <w:t>；</w:t>
      </w:r>
      <w:r>
        <w:rPr>
          <w:color w:val="auto"/>
          <w:highlight w:val="none"/>
        </w:rPr>
        <w:t>根据《关于划分国家级水土流失重点防治区的公告》(水利部2006年第2号)，项目所在的县属湘中红壤丘陵重点治理区。项目区水土流失侵蚀形态以轻度水力侵蚀为主，水蚀又以面蚀为主，沟蚀次之。根据项目区环境状况、水土流失现状调查及引起土壤侵蚀的外营力和侵蚀形式分析，确</w:t>
      </w:r>
      <w:r>
        <w:rPr>
          <w:rFonts w:hint="eastAsia"/>
          <w:color w:val="auto"/>
          <w:highlight w:val="none"/>
          <w:lang w:val="en-US" w:eastAsia="zh-CN"/>
        </w:rPr>
        <w:t>定项目区土壤侵蚀类型为水力侵蚀，侵蚀类型为面蚀。现场调查土地利用类型、植被盖度、地面坡度等土壤侵蚀影响因子，根据土地利用类型的不同，将项目区划分为不同的侵蚀地块，调查计算各地块的面积，调查各地块内的植被盖度和地面坡度，依据《土壤侵蚀分类分级标准》（SL190-2007）（表1.1-1和1.1-2）。分析判断的到各侵蚀地块的原生水土流失情况，详见表1.1-3.</w:t>
      </w:r>
    </w:p>
    <w:p>
      <w:pPr>
        <w:widowControl/>
        <w:jc w:val="both"/>
        <w:rPr>
          <w:rFonts w:hint="default" w:eastAsia="仿宋_GB2312"/>
          <w:b/>
          <w:bCs/>
          <w:color w:val="auto"/>
          <w:kern w:val="0"/>
          <w:highlight w:val="none"/>
          <w:lang w:val="en-US" w:eastAsia="zh-CN"/>
        </w:rPr>
      </w:pPr>
      <w:r>
        <w:rPr>
          <w:rFonts w:hint="eastAsia"/>
          <w:color w:val="auto"/>
          <w:kern w:val="0"/>
          <w:highlight w:val="none"/>
        </w:rPr>
        <w:t xml:space="preserve"> </w:t>
      </w:r>
      <w:r>
        <w:rPr>
          <w:rFonts w:hint="eastAsia"/>
          <w:b/>
          <w:bCs/>
          <w:color w:val="auto"/>
          <w:kern w:val="0"/>
          <w:highlight w:val="none"/>
        </w:rPr>
        <w:t xml:space="preserve">表 </w:t>
      </w:r>
      <w:r>
        <w:rPr>
          <w:rFonts w:ascii="Times New Roman" w:hAnsi="Times New Roman"/>
          <w:b/>
          <w:bCs/>
          <w:color w:val="auto"/>
          <w:kern w:val="0"/>
          <w:highlight w:val="none"/>
        </w:rPr>
        <w:t>1.1-1</w:t>
      </w:r>
      <w:r>
        <w:rPr>
          <w:rFonts w:hint="eastAsia"/>
          <w:b/>
          <w:bCs/>
          <w:color w:val="auto"/>
          <w:kern w:val="0"/>
          <w:highlight w:val="none"/>
          <w:lang w:val="en-US" w:eastAsia="zh-CN"/>
        </w:rPr>
        <w:t xml:space="preserve">                    </w:t>
      </w:r>
      <w:r>
        <w:rPr>
          <w:rFonts w:ascii="Times New Roman" w:hAnsi="Times New Roman"/>
          <w:b/>
          <w:bCs/>
          <w:color w:val="auto"/>
          <w:kern w:val="0"/>
          <w:highlight w:val="none"/>
        </w:rPr>
        <w:t xml:space="preserve"> </w:t>
      </w:r>
      <w:r>
        <w:rPr>
          <w:rFonts w:hint="eastAsia"/>
          <w:b/>
          <w:bCs/>
          <w:color w:val="auto"/>
          <w:kern w:val="0"/>
          <w:highlight w:val="none"/>
          <w:lang w:val="en-US" w:eastAsia="zh-CN"/>
        </w:rPr>
        <w:t>土壤侵蚀分类分级表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065"/>
        <w:gridCol w:w="1065"/>
        <w:gridCol w:w="1065"/>
        <w:gridCol w:w="1066"/>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130" w:type="dxa"/>
            <w:gridSpan w:val="2"/>
            <w:vAlign w:val="center"/>
            <mc:AlternateContent>
              <mc:Choice Requires="wpsCustomData">
                <wpsCustomData:diagonals>
                  <wpsCustomData:diagonal from="30000" to="10000">
                    <wpsCustomData:border w:val="single" w:color="auto" w:sz="4" w:space="0"/>
                  </wpsCustomData:diagonal>
                </wpsCustomData:diagonals>
              </mc:Choice>
            </mc:AlternateContent>
          </w:tcPr>
          <w:p>
            <w:pPr>
              <w:widowControl/>
              <w:snapToGrid w:val="0"/>
              <w:spacing w:line="240" w:lineRule="auto"/>
              <w:jc w:val="both"/>
              <w:rPr>
                <w:rFonts w:hint="eastAsia" w:ascii="仿宋" w:hAnsi="仿宋" w:eastAsia="仿宋" w:cs="仿宋"/>
                <w:b w:val="0"/>
                <w:bCs w:val="0"/>
                <w:color w:val="auto"/>
                <w:kern w:val="0"/>
                <w:sz w:val="21"/>
                <w:szCs w:val="21"/>
                <w:highlight w:val="none"/>
                <w:vertAlign w:val="baseline"/>
              </w:rPr>
            </w:pPr>
          </w:p>
          <w:p>
            <w:pPr>
              <w:widowControl/>
              <w:snapToGrid w:val="0"/>
              <w:spacing w:line="240" w:lineRule="auto"/>
              <w:ind w:left="0" w:leftChars="0" w:firstLine="0" w:firstLineChars="0"/>
              <w:jc w:val="both"/>
              <mc:AlternateContent>
                <mc:Choice Requires="wpsCustomData">
                  <wpsCustomData:diagonalParaType/>
                </mc:Choice>
              </mc:AlternateContent>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 xml:space="preserve">  地类</w:t>
            </w:r>
          </w:p>
          <w:p>
            <w:pPr>
              <w:widowControl/>
              <w:ind w:left="0" w:leftChars="0" w:firstLine="0" w:firstLineChars="0"/>
              <w:jc w:val="both"/>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地面坡度</w:t>
            </w:r>
          </w:p>
          <w:p>
            <w:pPr>
              <w:widowControl/>
              <w:jc w:val="center"/>
              <w:rPr>
                <w:rFonts w:hint="eastAsia" w:ascii="仿宋" w:hAnsi="仿宋" w:eastAsia="仿宋" w:cs="仿宋"/>
                <w:b w:val="0"/>
                <w:bCs w:val="0"/>
                <w:color w:val="auto"/>
                <w:kern w:val="0"/>
                <w:sz w:val="21"/>
                <w:szCs w:val="21"/>
                <w:highlight w:val="none"/>
                <w:vertAlign w:val="baseline"/>
              </w:rPr>
            </w:pPr>
          </w:p>
        </w:tc>
        <w:tc>
          <w:tcPr>
            <w:tcW w:w="1065" w:type="dxa"/>
            <w:tcBorders>
              <w:bottom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5~8</w:t>
            </w:r>
          </w:p>
        </w:tc>
        <w:tc>
          <w:tcPr>
            <w:tcW w:w="1065" w:type="dxa"/>
            <w:tcBorders>
              <w:bottom w:val="nil"/>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8~15</w:t>
            </w:r>
          </w:p>
        </w:tc>
        <w:tc>
          <w:tcPr>
            <w:tcW w:w="1066" w:type="dxa"/>
            <w:tcBorders>
              <w:bottom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15~25</w:t>
            </w:r>
          </w:p>
        </w:tc>
        <w:tc>
          <w:tcPr>
            <w:tcW w:w="1066" w:type="dxa"/>
            <w:tcBorders>
              <w:bottom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25~35</w:t>
            </w:r>
          </w:p>
        </w:tc>
        <w:tc>
          <w:tcPr>
            <w:tcW w:w="1066" w:type="dxa"/>
            <w:tcBorders>
              <w:bottom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&gt;35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65" w:type="dxa"/>
            <w:vMerge w:val="restart"/>
            <w:vAlign w:val="center"/>
          </w:tcPr>
          <w:p>
            <w:pPr>
              <w:widowControl/>
              <w:ind w:left="0" w:leftChars="0" w:firstLine="0" w:firstLineChars="0"/>
              <w:jc w:val="distribute"/>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非耕地林草覆盖度（%）</w:t>
            </w:r>
          </w:p>
        </w:tc>
        <w:tc>
          <w:tcPr>
            <w:tcW w:w="1065" w:type="dxa"/>
            <w:tcBorders>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60~75</w:t>
            </w:r>
          </w:p>
        </w:tc>
        <w:tc>
          <w:tcPr>
            <w:tcW w:w="3196" w:type="dxa"/>
            <w:gridSpan w:val="3"/>
            <w:tcBorders>
              <w:top w:val="single" w:color="auto" w:sz="4" w:space="0"/>
              <w:left w:val="single" w:color="auto" w:sz="4" w:space="0"/>
              <w:bottom w:val="nil"/>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rPr>
            </w:pPr>
          </w:p>
        </w:tc>
        <w:tc>
          <w:tcPr>
            <w:tcW w:w="1066" w:type="dxa"/>
            <w:tcBorders>
              <w:top w:val="single" w:color="auto" w:sz="4" w:space="0"/>
              <w:left w:val="single" w:color="auto" w:sz="4" w:space="0"/>
              <w:bottom w:val="nil"/>
              <w:right w:val="nil"/>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rPr>
            </w:pPr>
          </w:p>
        </w:tc>
        <w:tc>
          <w:tcPr>
            <w:tcW w:w="1066" w:type="dxa"/>
            <w:tcBorders>
              <w:top w:val="single" w:color="auto" w:sz="4" w:space="0"/>
              <w:left w:val="nil"/>
              <w:bottom w:val="single" w:color="auto" w:sz="4" w:space="0"/>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065" w:type="dxa"/>
            <w:vMerge w:val="continue"/>
            <w:vAlign w:val="center"/>
          </w:tcPr>
          <w:p>
            <w:pPr>
              <w:widowControl/>
              <w:jc w:val="center"/>
              <w:rPr>
                <w:rFonts w:hint="eastAsia" w:ascii="仿宋" w:hAnsi="仿宋" w:eastAsia="仿宋" w:cs="仿宋"/>
                <w:b w:val="0"/>
                <w:bCs w:val="0"/>
                <w:color w:val="auto"/>
                <w:kern w:val="0"/>
                <w:sz w:val="21"/>
                <w:szCs w:val="21"/>
                <w:highlight w:val="none"/>
                <w:vertAlign w:val="baseline"/>
              </w:rPr>
            </w:pPr>
          </w:p>
        </w:tc>
        <w:tc>
          <w:tcPr>
            <w:tcW w:w="1065" w:type="dxa"/>
            <w:tcBorders>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45~60</w:t>
            </w:r>
          </w:p>
        </w:tc>
        <w:tc>
          <w:tcPr>
            <w:tcW w:w="2130" w:type="dxa"/>
            <w:gridSpan w:val="2"/>
            <w:tcBorders>
              <w:top w:val="nil"/>
              <w:left w:val="single" w:color="auto" w:sz="4" w:space="0"/>
              <w:bottom w:val="nil"/>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轻度</w:t>
            </w:r>
          </w:p>
        </w:tc>
        <w:tc>
          <w:tcPr>
            <w:tcW w:w="1066" w:type="dxa"/>
            <w:tcBorders>
              <w:top w:val="single" w:color="auto" w:sz="4" w:space="0"/>
              <w:left w:val="single" w:color="auto" w:sz="4" w:space="0"/>
              <w:bottom w:val="nil"/>
              <w:right w:val="nil"/>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rPr>
            </w:pPr>
          </w:p>
        </w:tc>
        <w:tc>
          <w:tcPr>
            <w:tcW w:w="1066" w:type="dxa"/>
            <w:tcBorders>
              <w:top w:val="nil"/>
              <w:left w:val="nil"/>
              <w:bottom w:val="single" w:color="auto" w:sz="4" w:space="0"/>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rPr>
            </w:pPr>
          </w:p>
        </w:tc>
        <w:tc>
          <w:tcPr>
            <w:tcW w:w="1066" w:type="dxa"/>
            <w:tcBorders>
              <w:top w:val="single" w:color="auto" w:sz="4" w:space="0"/>
              <w:lef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强烈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065" w:type="dxa"/>
            <w:vMerge w:val="continue"/>
            <w:vAlign w:val="center"/>
          </w:tcPr>
          <w:p>
            <w:pPr>
              <w:widowControl/>
              <w:jc w:val="center"/>
              <w:rPr>
                <w:rFonts w:hint="eastAsia" w:ascii="仿宋" w:hAnsi="仿宋" w:eastAsia="仿宋" w:cs="仿宋"/>
                <w:b w:val="0"/>
                <w:bCs w:val="0"/>
                <w:color w:val="auto"/>
                <w:kern w:val="0"/>
                <w:sz w:val="21"/>
                <w:szCs w:val="21"/>
                <w:highlight w:val="none"/>
                <w:vertAlign w:val="baseline"/>
              </w:rPr>
            </w:pPr>
          </w:p>
        </w:tc>
        <w:tc>
          <w:tcPr>
            <w:tcW w:w="1065" w:type="dxa"/>
            <w:tcBorders>
              <w:bottom w:val="single" w:color="auto" w:sz="4" w:space="0"/>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30~45</w:t>
            </w:r>
          </w:p>
        </w:tc>
        <w:tc>
          <w:tcPr>
            <w:tcW w:w="1065" w:type="dxa"/>
            <w:tcBorders>
              <w:top w:val="nil"/>
              <w:left w:val="single" w:color="auto" w:sz="4" w:space="0"/>
              <w:bottom w:val="single" w:color="auto" w:sz="4" w:space="0"/>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rPr>
            </w:pPr>
          </w:p>
        </w:tc>
        <w:tc>
          <w:tcPr>
            <w:tcW w:w="1065" w:type="dxa"/>
            <w:tcBorders>
              <w:top w:val="single" w:color="auto" w:sz="4" w:space="0"/>
              <w:left w:val="single" w:color="auto" w:sz="4" w:space="0"/>
              <w:bottom w:val="nil"/>
              <w:right w:val="nil"/>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rPr>
            </w:pPr>
          </w:p>
        </w:tc>
        <w:tc>
          <w:tcPr>
            <w:tcW w:w="1066" w:type="dxa"/>
            <w:tcBorders>
              <w:top w:val="nil"/>
              <w:left w:val="nil"/>
              <w:bottom w:val="single" w:color="auto" w:sz="4" w:space="0"/>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中度</w:t>
            </w:r>
          </w:p>
        </w:tc>
        <w:tc>
          <w:tcPr>
            <w:tcW w:w="1066" w:type="dxa"/>
            <w:tcBorders>
              <w:top w:val="single" w:color="auto" w:sz="4" w:space="0"/>
              <w:left w:val="single" w:color="auto" w:sz="4" w:space="0"/>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强烈</w:t>
            </w:r>
          </w:p>
        </w:tc>
        <w:tc>
          <w:tcPr>
            <w:tcW w:w="1066" w:type="dxa"/>
            <w:tcBorders>
              <w:lef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极强烈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065" w:type="dxa"/>
            <w:vMerge w:val="continue"/>
            <w:vAlign w:val="center"/>
          </w:tcPr>
          <w:p>
            <w:pPr>
              <w:widowControl/>
              <w:jc w:val="center"/>
              <w:rPr>
                <w:rFonts w:hint="eastAsia" w:ascii="仿宋" w:hAnsi="仿宋" w:eastAsia="仿宋" w:cs="仿宋"/>
                <w:b w:val="0"/>
                <w:bCs w:val="0"/>
                <w:color w:val="auto"/>
                <w:kern w:val="0"/>
                <w:sz w:val="21"/>
                <w:szCs w:val="21"/>
                <w:highlight w:val="none"/>
                <w:vertAlign w:val="baseline"/>
              </w:rPr>
            </w:pPr>
          </w:p>
        </w:tc>
        <w:tc>
          <w:tcPr>
            <w:tcW w:w="1065" w:type="dxa"/>
            <w:tcBorders>
              <w:top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&lt;30</w:t>
            </w:r>
          </w:p>
        </w:tc>
        <w:tc>
          <w:tcPr>
            <w:tcW w:w="1065" w:type="dxa"/>
            <w:tcBorders>
              <w:top w:val="single" w:color="auto" w:sz="4" w:space="0"/>
              <w:right w:val="nil"/>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rPr>
            </w:pPr>
          </w:p>
        </w:tc>
        <w:tc>
          <w:tcPr>
            <w:tcW w:w="1065" w:type="dxa"/>
            <w:tcBorders>
              <w:top w:val="nil"/>
              <w:left w:val="nil"/>
              <w:bottom w:val="nil"/>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rPr>
            </w:pPr>
          </w:p>
        </w:tc>
        <w:tc>
          <w:tcPr>
            <w:tcW w:w="1066" w:type="dxa"/>
            <w:vMerge w:val="restart"/>
            <w:tcBorders>
              <w:top w:val="single" w:color="auto" w:sz="4" w:space="0"/>
              <w:left w:val="single" w:color="auto" w:sz="4" w:space="0"/>
              <w:righ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强烈</w:t>
            </w:r>
          </w:p>
        </w:tc>
        <w:tc>
          <w:tcPr>
            <w:tcW w:w="1066" w:type="dxa"/>
            <w:vMerge w:val="restart"/>
            <w:tcBorders>
              <w:left w:val="single" w:color="auto" w:sz="4" w:space="0"/>
            </w:tcBorders>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极强烈</w:t>
            </w:r>
          </w:p>
        </w:tc>
        <w:tc>
          <w:tcPr>
            <w:tcW w:w="1066" w:type="dxa"/>
            <w:vMerge w:val="restart"/>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剧烈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0" w:type="dxa"/>
            <w:gridSpan w:val="2"/>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坡耕地</w:t>
            </w:r>
          </w:p>
        </w:tc>
        <w:tc>
          <w:tcPr>
            <w:tcW w:w="1065" w:type="dxa"/>
            <w:vAlign w:val="center"/>
          </w:tcPr>
          <w:p>
            <w:pPr>
              <w:widowControl/>
              <w:ind w:left="0" w:leftChars="0" w:firstLine="0" w:firstLineChars="0"/>
              <w:jc w:val="center"/>
              <w:rPr>
                <w:rFonts w:hint="eastAsia" w:ascii="仿宋" w:hAnsi="仿宋" w:eastAsia="仿宋" w:cs="仿宋"/>
                <w:b w:val="0"/>
                <w:bCs w:val="0"/>
                <w:color w:val="auto"/>
                <w:kern w:val="0"/>
                <w:sz w:val="21"/>
                <w:szCs w:val="21"/>
                <w:highlight w:val="none"/>
                <w:vertAlign w:val="baseline"/>
                <w:lang w:val="en-US" w:eastAsia="zh-CN"/>
              </w:rPr>
            </w:pPr>
            <w:r>
              <w:rPr>
                <w:rFonts w:hint="eastAsia" w:ascii="仿宋" w:hAnsi="仿宋" w:eastAsia="仿宋" w:cs="仿宋"/>
                <w:b w:val="0"/>
                <w:bCs w:val="0"/>
                <w:color w:val="auto"/>
                <w:kern w:val="0"/>
                <w:sz w:val="21"/>
                <w:szCs w:val="21"/>
                <w:highlight w:val="none"/>
                <w:vertAlign w:val="baseline"/>
                <w:lang w:val="en-US" w:eastAsia="zh-CN"/>
              </w:rPr>
              <w:t>轻度</w:t>
            </w:r>
          </w:p>
        </w:tc>
        <w:tc>
          <w:tcPr>
            <w:tcW w:w="1065" w:type="dxa"/>
            <w:tcBorders>
              <w:top w:val="nil"/>
              <w:right w:val="single" w:color="auto" w:sz="4" w:space="0"/>
            </w:tcBorders>
            <w:vAlign w:val="center"/>
          </w:tcPr>
          <w:p>
            <w:pPr>
              <w:widowControl/>
              <w:ind w:left="0" w:leftChars="0" w:firstLine="0" w:firstLineChars="0"/>
              <w:jc w:val="both"/>
              <w:rPr>
                <w:rFonts w:hint="eastAsia" w:ascii="仿宋" w:hAnsi="仿宋" w:eastAsia="仿宋" w:cs="仿宋"/>
                <w:b w:val="0"/>
                <w:bCs w:val="0"/>
                <w:color w:val="auto"/>
                <w:kern w:val="0"/>
                <w:sz w:val="21"/>
                <w:szCs w:val="21"/>
                <w:highlight w:val="none"/>
                <w:vertAlign w:val="baseline"/>
              </w:rPr>
            </w:pPr>
          </w:p>
        </w:tc>
        <w:tc>
          <w:tcPr>
            <w:tcW w:w="1066" w:type="dxa"/>
            <w:vMerge w:val="continue"/>
            <w:tcBorders>
              <w:left w:val="single" w:color="auto" w:sz="4" w:space="0"/>
            </w:tcBorders>
            <w:vAlign w:val="center"/>
          </w:tcPr>
          <w:p>
            <w:pPr>
              <w:widowControl/>
              <w:ind w:left="0" w:leftChars="0" w:firstLine="0" w:firstLineChars="0"/>
              <w:jc w:val="both"/>
              <w:rPr>
                <w:rFonts w:hint="eastAsia" w:ascii="仿宋" w:hAnsi="仿宋" w:eastAsia="仿宋" w:cs="仿宋"/>
                <w:b w:val="0"/>
                <w:bCs w:val="0"/>
                <w:color w:val="auto"/>
                <w:kern w:val="0"/>
                <w:sz w:val="21"/>
                <w:szCs w:val="21"/>
                <w:highlight w:val="none"/>
                <w:vertAlign w:val="baseline"/>
              </w:rPr>
            </w:pPr>
          </w:p>
        </w:tc>
        <w:tc>
          <w:tcPr>
            <w:tcW w:w="1066" w:type="dxa"/>
            <w:vMerge w:val="continue"/>
            <w:tcBorders>
              <w:left w:val="single" w:color="auto" w:sz="4" w:space="0"/>
            </w:tcBorders>
            <w:vAlign w:val="center"/>
          </w:tcPr>
          <w:p>
            <w:pPr>
              <w:widowControl/>
              <w:ind w:left="0" w:leftChars="0" w:firstLine="0" w:firstLineChars="0"/>
              <w:jc w:val="both"/>
              <w:rPr>
                <w:rFonts w:hint="eastAsia" w:ascii="仿宋" w:hAnsi="仿宋" w:eastAsia="仿宋" w:cs="仿宋"/>
                <w:b w:val="0"/>
                <w:bCs w:val="0"/>
                <w:color w:val="auto"/>
                <w:kern w:val="0"/>
                <w:sz w:val="21"/>
                <w:szCs w:val="21"/>
                <w:highlight w:val="none"/>
                <w:vertAlign w:val="baseline"/>
              </w:rPr>
            </w:pPr>
          </w:p>
        </w:tc>
        <w:tc>
          <w:tcPr>
            <w:tcW w:w="1066" w:type="dxa"/>
            <w:vMerge w:val="continue"/>
            <w:vAlign w:val="center"/>
          </w:tcPr>
          <w:p>
            <w:pPr>
              <w:widowControl/>
              <w:ind w:left="0" w:leftChars="0" w:firstLine="0" w:firstLineChars="0"/>
              <w:jc w:val="both"/>
              <w:rPr>
                <w:rFonts w:hint="eastAsia" w:ascii="仿宋" w:hAnsi="仿宋" w:eastAsia="仿宋" w:cs="仿宋"/>
                <w:b w:val="0"/>
                <w:bCs w:val="0"/>
                <w:color w:val="auto"/>
                <w:kern w:val="0"/>
                <w:sz w:val="21"/>
                <w:szCs w:val="21"/>
                <w:highlight w:val="none"/>
                <w:vertAlign w:val="baseline"/>
              </w:rPr>
            </w:pPr>
          </w:p>
        </w:tc>
      </w:tr>
    </w:tbl>
    <w:p>
      <w:pPr>
        <w:widowControl/>
        <w:ind w:firstLine="723" w:firstLineChars="300"/>
        <w:jc w:val="both"/>
        <w:rPr>
          <w:rFonts w:hint="eastAsia"/>
          <w:b/>
          <w:bCs/>
          <w:color w:val="auto"/>
          <w:kern w:val="0"/>
          <w:highlight w:val="none"/>
        </w:rPr>
      </w:pPr>
    </w:p>
    <w:p>
      <w:pPr>
        <w:widowControl/>
        <w:ind w:firstLine="723" w:firstLineChars="300"/>
        <w:jc w:val="both"/>
        <w:rPr>
          <w:rFonts w:hint="eastAsia"/>
          <w:b/>
          <w:bCs/>
          <w:color w:val="auto"/>
          <w:kern w:val="0"/>
          <w:highlight w:val="none"/>
          <w:lang w:val="en-US" w:eastAsia="zh-CN"/>
        </w:rPr>
      </w:pPr>
      <w:r>
        <w:rPr>
          <w:rFonts w:hint="eastAsia"/>
          <w:b/>
          <w:bCs/>
          <w:color w:val="auto"/>
          <w:kern w:val="0"/>
          <w:highlight w:val="none"/>
        </w:rPr>
        <w:t xml:space="preserve">表 </w:t>
      </w:r>
      <w:r>
        <w:rPr>
          <w:rFonts w:ascii="Times New Roman" w:hAnsi="Times New Roman"/>
          <w:b/>
          <w:bCs/>
          <w:color w:val="auto"/>
          <w:kern w:val="0"/>
          <w:highlight w:val="none"/>
        </w:rPr>
        <w:t>1.1-1</w:t>
      </w:r>
      <w:r>
        <w:rPr>
          <w:rFonts w:hint="eastAsia"/>
          <w:b/>
          <w:bCs/>
          <w:color w:val="auto"/>
          <w:kern w:val="0"/>
          <w:highlight w:val="none"/>
          <w:lang w:val="en-US" w:eastAsia="zh-CN"/>
        </w:rPr>
        <w:t xml:space="preserve">                    </w:t>
      </w:r>
      <w:r>
        <w:rPr>
          <w:rFonts w:ascii="Times New Roman" w:hAnsi="Times New Roman"/>
          <w:b/>
          <w:bCs/>
          <w:color w:val="auto"/>
          <w:kern w:val="0"/>
          <w:highlight w:val="none"/>
        </w:rPr>
        <w:t xml:space="preserve"> </w:t>
      </w:r>
      <w:r>
        <w:rPr>
          <w:rFonts w:hint="eastAsia"/>
          <w:b/>
          <w:bCs/>
          <w:color w:val="auto"/>
          <w:kern w:val="0"/>
          <w:highlight w:val="none"/>
          <w:lang w:val="en-US" w:eastAsia="zh-CN"/>
        </w:rPr>
        <w:t>水力重力侵蚀强度分级表</w:t>
      </w:r>
    </w:p>
    <w:tbl>
      <w:tblPr>
        <w:tblStyle w:val="22"/>
        <w:tblW w:w="8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2931"/>
        <w:gridCol w:w="2519"/>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68" w:type="dxa"/>
          </w:tcPr>
          <w:p>
            <w:pPr>
              <w:bidi w:val="0"/>
              <w:ind w:left="0" w:leftChars="0" w:firstLine="0" w:firstLineChars="0"/>
              <w:rPr>
                <w:rFonts w:hint="default"/>
                <w:b/>
                <w:bCs/>
                <w:color w:val="auto"/>
                <w:highlight w:val="none"/>
                <w:lang w:val="en-US" w:eastAsia="zh-CN"/>
              </w:rPr>
            </w:pPr>
            <w:r>
              <w:rPr>
                <w:rFonts w:hint="eastAsia"/>
                <w:b/>
                <w:bCs/>
                <w:color w:val="auto"/>
                <w:highlight w:val="none"/>
                <w:lang w:val="en-US" w:eastAsia="zh-CN"/>
              </w:rPr>
              <w:t>级别</w:t>
            </w:r>
          </w:p>
        </w:tc>
        <w:tc>
          <w:tcPr>
            <w:tcW w:w="2931"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平均侵蚀投数[t/(km2</w:t>
            </w:r>
            <w:r>
              <w:rPr>
                <w:rFonts w:hint="eastAsia" w:ascii="仿宋_GB2312" w:hAnsi="仿宋_GB2312" w:eastAsia="仿宋_GB2312" w:cs="仿宋_GB2312"/>
                <w:b/>
                <w:bCs/>
                <w:color w:val="auto"/>
                <w:kern w:val="0"/>
                <w:highlight w:val="none"/>
                <w:vertAlign w:val="baseline"/>
                <w:lang w:val="en-US" w:eastAsia="zh-CN"/>
              </w:rPr>
              <w:t>·</w:t>
            </w:r>
            <w:r>
              <w:rPr>
                <w:rFonts w:hint="eastAsia"/>
                <w:b/>
                <w:bCs/>
                <w:color w:val="auto"/>
                <w:kern w:val="0"/>
                <w:highlight w:val="none"/>
                <w:vertAlign w:val="baseline"/>
                <w:lang w:val="en-US" w:eastAsia="zh-CN"/>
              </w:rPr>
              <w:t>a)]</w:t>
            </w:r>
          </w:p>
        </w:tc>
        <w:tc>
          <w:tcPr>
            <w:tcW w:w="2519"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平均流失厚度（mm/a)</w:t>
            </w:r>
          </w:p>
        </w:tc>
        <w:tc>
          <w:tcPr>
            <w:tcW w:w="2140"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68"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微度</w:t>
            </w:r>
          </w:p>
        </w:tc>
        <w:tc>
          <w:tcPr>
            <w:tcW w:w="2931"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&lt;200，&lt;500，&lt;1000</w:t>
            </w:r>
          </w:p>
        </w:tc>
        <w:tc>
          <w:tcPr>
            <w:tcW w:w="2519"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&lt;0.15，&lt;0.37，&lt;0.74</w:t>
            </w:r>
          </w:p>
        </w:tc>
        <w:tc>
          <w:tcPr>
            <w:tcW w:w="2140" w:type="dxa"/>
            <w:vMerge w:val="restart"/>
          </w:tcPr>
          <w:p>
            <w:pPr>
              <w:keepNext w:val="0"/>
              <w:keepLines w:val="0"/>
              <w:pageBreakBefore w:val="0"/>
              <w:widowControl/>
              <w:kinsoku/>
              <w:wordWrap/>
              <w:overflowPunct/>
              <w:topLinePunct w:val="0"/>
              <w:autoSpaceDE/>
              <w:autoSpaceDN/>
              <w:bidi w:val="0"/>
              <w:adjustRightInd/>
              <w:snapToGrid/>
              <w:spacing w:line="240" w:lineRule="atLeast"/>
              <w:ind w:left="0" w:leftChars="0" w:firstLine="0" w:firstLineChars="0"/>
              <w:jc w:val="both"/>
              <w:textAlignment w:val="auto"/>
              <w:rPr>
                <w:rFonts w:hint="default"/>
                <w:b/>
                <w:bCs/>
                <w:color w:val="auto"/>
                <w:kern w:val="0"/>
                <w:sz w:val="18"/>
                <w:szCs w:val="18"/>
                <w:highlight w:val="none"/>
                <w:vertAlign w:val="baseline"/>
                <w:lang w:val="en-US" w:eastAsia="zh-CN"/>
              </w:rPr>
            </w:pPr>
            <w:r>
              <w:rPr>
                <w:rFonts w:hint="eastAsia" w:ascii="宋体" w:hAnsi="宋体" w:eastAsia="宋体" w:cs="宋体"/>
                <w:b/>
                <w:bCs/>
                <w:color w:val="auto"/>
                <w:kern w:val="0"/>
                <w:sz w:val="15"/>
                <w:szCs w:val="15"/>
                <w:highlight w:val="none"/>
                <w:vertAlign w:val="baseline"/>
                <w:lang w:val="en-US" w:eastAsia="zh-CN"/>
              </w:rPr>
              <w:t>分别指东北黑土区和北方土石山区，南方红壤丘陵区和西南土石山区，西北黄土高原区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68"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轻度</w:t>
            </w:r>
          </w:p>
        </w:tc>
        <w:tc>
          <w:tcPr>
            <w:tcW w:w="2931"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200，500，1000~2500</w:t>
            </w:r>
          </w:p>
        </w:tc>
        <w:tc>
          <w:tcPr>
            <w:tcW w:w="2519"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0.15，0.37，0.74~1.9</w:t>
            </w:r>
          </w:p>
        </w:tc>
        <w:tc>
          <w:tcPr>
            <w:tcW w:w="2140" w:type="dxa"/>
            <w:vMerge w:val="continue"/>
          </w:tcPr>
          <w:p>
            <w:pPr>
              <w:widowControl/>
              <w:ind w:left="0" w:leftChars="0" w:firstLine="0" w:firstLineChars="0"/>
              <w:jc w:val="both"/>
              <w:rPr>
                <w:rFonts w:hint="eastAsia"/>
                <w:b/>
                <w:bCs/>
                <w:color w:val="auto"/>
                <w:kern w:val="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68"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中度</w:t>
            </w:r>
          </w:p>
        </w:tc>
        <w:tc>
          <w:tcPr>
            <w:tcW w:w="2931" w:type="dxa"/>
          </w:tcPr>
          <w:p>
            <w:pPr>
              <w:widowControl/>
              <w:ind w:left="0" w:leftChars="0" w:firstLine="0" w:firstLineChars="0"/>
              <w:jc w:val="both"/>
              <w:rPr>
                <w:rFonts w:hint="eastAsia"/>
                <w:b/>
                <w:bCs/>
                <w:color w:val="auto"/>
                <w:kern w:val="0"/>
                <w:highlight w:val="none"/>
                <w:vertAlign w:val="baseline"/>
                <w:lang w:val="en-US" w:eastAsia="zh-CN"/>
              </w:rPr>
            </w:pPr>
            <w:r>
              <w:rPr>
                <w:rFonts w:hint="eastAsia"/>
                <w:b/>
                <w:bCs/>
                <w:color w:val="auto"/>
                <w:kern w:val="0"/>
                <w:highlight w:val="none"/>
                <w:vertAlign w:val="baseline"/>
                <w:lang w:val="en-US" w:eastAsia="zh-CN"/>
              </w:rPr>
              <w:t>2500~5000</w:t>
            </w:r>
          </w:p>
        </w:tc>
        <w:tc>
          <w:tcPr>
            <w:tcW w:w="2519"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1.9~3.7</w:t>
            </w:r>
          </w:p>
        </w:tc>
        <w:tc>
          <w:tcPr>
            <w:tcW w:w="2140" w:type="dxa"/>
          </w:tcPr>
          <w:p>
            <w:pPr>
              <w:widowControl/>
              <w:ind w:left="0" w:leftChars="0" w:firstLine="0" w:firstLineChars="0"/>
              <w:jc w:val="both"/>
              <w:rPr>
                <w:rFonts w:hint="eastAsia"/>
                <w:b/>
                <w:bCs/>
                <w:color w:val="auto"/>
                <w:kern w:val="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68"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强烈</w:t>
            </w:r>
          </w:p>
        </w:tc>
        <w:tc>
          <w:tcPr>
            <w:tcW w:w="2931"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5000~8000</w:t>
            </w:r>
          </w:p>
        </w:tc>
        <w:tc>
          <w:tcPr>
            <w:tcW w:w="2519"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3.7~5.9</w:t>
            </w:r>
          </w:p>
        </w:tc>
        <w:tc>
          <w:tcPr>
            <w:tcW w:w="2140" w:type="dxa"/>
          </w:tcPr>
          <w:p>
            <w:pPr>
              <w:widowControl/>
              <w:ind w:left="0" w:leftChars="0" w:firstLine="0" w:firstLineChars="0"/>
              <w:jc w:val="both"/>
              <w:rPr>
                <w:rFonts w:hint="eastAsia"/>
                <w:b/>
                <w:bCs/>
                <w:color w:val="auto"/>
                <w:kern w:val="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68"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极强烈</w:t>
            </w:r>
          </w:p>
        </w:tc>
        <w:tc>
          <w:tcPr>
            <w:tcW w:w="2931"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8000~15000</w:t>
            </w:r>
          </w:p>
        </w:tc>
        <w:tc>
          <w:tcPr>
            <w:tcW w:w="2519"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5.9~11.1</w:t>
            </w:r>
          </w:p>
        </w:tc>
        <w:tc>
          <w:tcPr>
            <w:tcW w:w="2140" w:type="dxa"/>
          </w:tcPr>
          <w:p>
            <w:pPr>
              <w:widowControl/>
              <w:ind w:left="0" w:leftChars="0" w:firstLine="0" w:firstLineChars="0"/>
              <w:jc w:val="both"/>
              <w:rPr>
                <w:rFonts w:hint="eastAsia"/>
                <w:b/>
                <w:bCs/>
                <w:color w:val="auto"/>
                <w:kern w:val="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68"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剧烈</w:t>
            </w:r>
          </w:p>
        </w:tc>
        <w:tc>
          <w:tcPr>
            <w:tcW w:w="2931"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&gt;15000</w:t>
            </w:r>
          </w:p>
        </w:tc>
        <w:tc>
          <w:tcPr>
            <w:tcW w:w="2519" w:type="dxa"/>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&gt;11.1</w:t>
            </w:r>
          </w:p>
        </w:tc>
        <w:tc>
          <w:tcPr>
            <w:tcW w:w="2140" w:type="dxa"/>
          </w:tcPr>
          <w:p>
            <w:pPr>
              <w:widowControl/>
              <w:ind w:left="0" w:leftChars="0" w:firstLine="0" w:firstLineChars="0"/>
              <w:jc w:val="both"/>
              <w:rPr>
                <w:rFonts w:hint="eastAsia"/>
                <w:b/>
                <w:bCs/>
                <w:color w:val="auto"/>
                <w:kern w:val="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8558" w:type="dxa"/>
            <w:gridSpan w:val="4"/>
          </w:tcPr>
          <w:p>
            <w:pPr>
              <w:widowControl/>
              <w:ind w:left="0" w:leftChars="0" w:firstLine="0" w:firstLineChars="0"/>
              <w:jc w:val="both"/>
              <w:rPr>
                <w:rFonts w:hint="default"/>
                <w:b/>
                <w:bCs/>
                <w:color w:val="auto"/>
                <w:kern w:val="0"/>
                <w:highlight w:val="none"/>
                <w:vertAlign w:val="baseline"/>
                <w:lang w:val="en-US" w:eastAsia="zh-CN"/>
              </w:rPr>
            </w:pPr>
            <w:r>
              <w:rPr>
                <w:rFonts w:hint="eastAsia"/>
                <w:b/>
                <w:bCs/>
                <w:color w:val="auto"/>
                <w:kern w:val="0"/>
                <w:highlight w:val="none"/>
                <w:vertAlign w:val="baseline"/>
                <w:lang w:val="en-US" w:eastAsia="zh-CN"/>
              </w:rPr>
              <w:t>本表流失厚度系按上的干密度1.35g/cm3折算，各地可按当地土壤干密度计算</w:t>
            </w:r>
          </w:p>
        </w:tc>
      </w:tr>
    </w:tbl>
    <w:p>
      <w:pPr>
        <w:widowControl/>
        <w:ind w:firstLine="723" w:firstLineChars="300"/>
        <w:jc w:val="both"/>
        <w:rPr>
          <w:rFonts w:hint="eastAsia"/>
          <w:b/>
          <w:bCs/>
          <w:color w:val="auto"/>
          <w:kern w:val="0"/>
          <w:highlight w:val="none"/>
          <w:lang w:val="en-US" w:eastAsia="zh-CN"/>
        </w:rPr>
      </w:pPr>
    </w:p>
    <w:p>
      <w:pPr>
        <w:widowControl/>
        <w:ind w:firstLine="720" w:firstLineChars="300"/>
        <w:jc w:val="both"/>
        <w:rPr>
          <w:rFonts w:hint="default"/>
          <w:b w:val="0"/>
          <w:bCs w:val="0"/>
          <w:color w:val="auto"/>
          <w:kern w:val="0"/>
          <w:highlight w:val="none"/>
          <w:lang w:val="en-US" w:eastAsia="zh-CN"/>
        </w:rPr>
      </w:pPr>
      <w:r>
        <w:rPr>
          <w:rFonts w:hint="eastAsia"/>
          <w:b w:val="0"/>
          <w:bCs w:val="0"/>
          <w:color w:val="auto"/>
          <w:kern w:val="0"/>
          <w:highlight w:val="none"/>
          <w:lang w:val="en-US" w:eastAsia="zh-CN"/>
        </w:rPr>
        <w:t>根据最新遥感数据，全市水土流失面积达3896.5km2，占土地总面积24.46%，其中：轻度侵蚀974.32km2，占流失面积25%，中度侵蚀2884.13km2，占流失面积74%，强度侵蚀35.38km2，占流失面积0.9%，极强侵蚀2.67%，占流失面积0.1%。</w:t>
      </w:r>
    </w:p>
    <w:p>
      <w:pPr>
        <w:pStyle w:val="4"/>
        <w:bidi w:val="0"/>
        <w:rPr>
          <w:rFonts w:hint="eastAsia"/>
          <w:color w:val="auto"/>
          <w:highlight w:val="none"/>
        </w:rPr>
      </w:pPr>
      <w:bookmarkStart w:id="4" w:name="_Toc13750"/>
      <w:r>
        <w:rPr>
          <w:color w:val="auto"/>
          <w:highlight w:val="none"/>
        </w:rPr>
        <w:t xml:space="preserve">1.2 </w:t>
      </w:r>
      <w:r>
        <w:rPr>
          <w:rFonts w:hint="eastAsia"/>
          <w:color w:val="auto"/>
          <w:highlight w:val="none"/>
        </w:rPr>
        <w:t>水土保持工作情况</w:t>
      </w:r>
      <w:bookmarkEnd w:id="4"/>
      <w:r>
        <w:rPr>
          <w:rFonts w:hint="eastAsia"/>
          <w:color w:val="auto"/>
          <w:highlight w:val="none"/>
        </w:rPr>
        <w:t xml:space="preserve"> </w:t>
      </w:r>
    </w:p>
    <w:p>
      <w:pPr>
        <w:pStyle w:val="5"/>
        <w:bidi w:val="0"/>
        <w:rPr>
          <w:color w:val="auto"/>
          <w:highlight w:val="none"/>
        </w:rPr>
      </w:pPr>
      <w:bookmarkStart w:id="5" w:name="_Toc31752"/>
      <w:r>
        <w:rPr>
          <w:color w:val="auto"/>
          <w:highlight w:val="none"/>
        </w:rPr>
        <w:t xml:space="preserve">1.2.1 </w:t>
      </w:r>
      <w:r>
        <w:rPr>
          <w:rFonts w:hint="eastAsia"/>
          <w:color w:val="auto"/>
          <w:highlight w:val="none"/>
        </w:rPr>
        <w:t>水土保持方案编报</w:t>
      </w:r>
      <w:bookmarkEnd w:id="5"/>
      <w:r>
        <w:rPr>
          <w:rFonts w:hint="eastAsia"/>
          <w:color w:val="auto"/>
          <w:highlight w:val="none"/>
        </w:rPr>
        <w:t xml:space="preserve"> </w:t>
      </w:r>
    </w:p>
    <w:p>
      <w:pPr>
        <w:widowControl/>
        <w:jc w:val="left"/>
        <w:rPr>
          <w:color w:val="auto"/>
          <w:highlight w:val="none"/>
        </w:rPr>
      </w:pPr>
      <w:r>
        <w:rPr>
          <w:rFonts w:ascii="Times New Roman" w:hAnsi="Times New Roman"/>
          <w:color w:val="auto"/>
          <w:kern w:val="0"/>
          <w:highlight w:val="none"/>
        </w:rPr>
        <w:t>201</w:t>
      </w:r>
      <w:r>
        <w:rPr>
          <w:rFonts w:hint="eastAsia"/>
          <w:color w:val="auto"/>
          <w:kern w:val="0"/>
          <w:highlight w:val="none"/>
          <w:lang w:val="en-US" w:eastAsia="zh-CN"/>
        </w:rPr>
        <w:t>6</w:t>
      </w:r>
      <w:r>
        <w:rPr>
          <w:rFonts w:hint="eastAsia"/>
          <w:color w:val="auto"/>
          <w:kern w:val="0"/>
          <w:highlight w:val="none"/>
        </w:rPr>
        <w:t>年，</w:t>
      </w:r>
      <w:r>
        <w:rPr>
          <w:rFonts w:hint="eastAsia"/>
          <w:color w:val="auto"/>
          <w:kern w:val="0"/>
          <w:highlight w:val="none"/>
          <w:lang w:val="en-US" w:eastAsia="zh-CN"/>
        </w:rPr>
        <w:t>衡阳兴欣水土保持咨询有限公司</w:t>
      </w:r>
      <w:r>
        <w:rPr>
          <w:rFonts w:hint="eastAsia"/>
          <w:color w:val="auto"/>
          <w:kern w:val="0"/>
          <w:highlight w:val="none"/>
        </w:rPr>
        <w:t>接到</w:t>
      </w:r>
      <w:r>
        <w:rPr>
          <w:rFonts w:hint="eastAsia"/>
          <w:color w:val="auto"/>
          <w:kern w:val="0"/>
          <w:highlight w:val="none"/>
          <w:lang w:val="en-US" w:eastAsia="zh-CN"/>
        </w:rPr>
        <w:t>衡阳市城市建设投资</w:t>
      </w:r>
      <w:r>
        <w:rPr>
          <w:rFonts w:hint="eastAsia"/>
          <w:color w:val="auto"/>
          <w:kern w:val="0"/>
          <w:highlight w:val="none"/>
        </w:rPr>
        <w:t>有限公司的委托，承担本项目的水土保持方案编制工作。</w:t>
      </w:r>
      <w:r>
        <w:rPr>
          <w:rFonts w:ascii="Times New Roman" w:hAnsi="Times New Roman"/>
          <w:color w:val="auto"/>
          <w:kern w:val="0"/>
          <w:highlight w:val="none"/>
        </w:rPr>
        <w:t>201</w:t>
      </w:r>
      <w:r>
        <w:rPr>
          <w:rFonts w:hint="eastAsia"/>
          <w:color w:val="auto"/>
          <w:kern w:val="0"/>
          <w:highlight w:val="none"/>
          <w:lang w:val="en-US" w:eastAsia="zh-CN"/>
        </w:rPr>
        <w:t>6</w:t>
      </w:r>
      <w:r>
        <w:rPr>
          <w:rFonts w:hint="eastAsia"/>
          <w:color w:val="auto"/>
          <w:kern w:val="0"/>
          <w:highlight w:val="none"/>
        </w:rPr>
        <w:t>年</w:t>
      </w:r>
      <w:r>
        <w:rPr>
          <w:rFonts w:ascii="Times New Roman" w:hAnsi="Times New Roman"/>
          <w:color w:val="auto"/>
          <w:kern w:val="0"/>
          <w:highlight w:val="none"/>
        </w:rPr>
        <w:t>1</w:t>
      </w:r>
      <w:r>
        <w:rPr>
          <w:rFonts w:hint="eastAsia"/>
          <w:color w:val="auto"/>
          <w:kern w:val="0"/>
          <w:highlight w:val="none"/>
        </w:rPr>
        <w:t>月底，编制完成《</w:t>
      </w:r>
      <w:r>
        <w:rPr>
          <w:rFonts w:hint="eastAsia"/>
          <w:color w:val="auto"/>
          <w:kern w:val="0"/>
          <w:highlight w:val="none"/>
          <w:lang w:val="en-US" w:eastAsia="zh-CN"/>
        </w:rPr>
        <w:t>衡阳市廻雁峰公园地下停车场项目</w:t>
      </w:r>
      <w:r>
        <w:rPr>
          <w:rFonts w:hint="eastAsia"/>
          <w:color w:val="auto"/>
          <w:kern w:val="0"/>
          <w:highlight w:val="none"/>
        </w:rPr>
        <w:t>水土保持方案报告书》（送审稿）。</w:t>
      </w:r>
      <w:r>
        <w:rPr>
          <w:rFonts w:ascii="Times New Roman" w:hAnsi="Times New Roman"/>
          <w:color w:val="auto"/>
          <w:kern w:val="0"/>
          <w:highlight w:val="none"/>
        </w:rPr>
        <w:t>201</w:t>
      </w:r>
      <w:r>
        <w:rPr>
          <w:rFonts w:hint="eastAsia"/>
          <w:color w:val="auto"/>
          <w:kern w:val="0"/>
          <w:highlight w:val="none"/>
          <w:lang w:val="en-US" w:eastAsia="zh-CN"/>
        </w:rPr>
        <w:t>6</w:t>
      </w:r>
      <w:r>
        <w:rPr>
          <w:rFonts w:hint="eastAsia"/>
          <w:color w:val="auto"/>
          <w:kern w:val="0"/>
          <w:highlight w:val="none"/>
        </w:rPr>
        <w:t>年</w:t>
      </w:r>
      <w:r>
        <w:rPr>
          <w:rFonts w:hint="eastAsia"/>
          <w:color w:val="auto"/>
          <w:kern w:val="0"/>
          <w:highlight w:val="none"/>
          <w:lang w:val="en-US" w:eastAsia="zh-CN"/>
        </w:rPr>
        <w:t>4</w:t>
      </w:r>
      <w:r>
        <w:rPr>
          <w:rFonts w:hint="eastAsia"/>
          <w:color w:val="auto"/>
          <w:kern w:val="0"/>
          <w:highlight w:val="none"/>
        </w:rPr>
        <w:t>月，完成报批稿。</w:t>
      </w:r>
      <w:r>
        <w:rPr>
          <w:rFonts w:ascii="Times New Roman" w:hAnsi="Times New Roman"/>
          <w:color w:val="auto"/>
          <w:kern w:val="0"/>
          <w:highlight w:val="none"/>
        </w:rPr>
        <w:t>201</w:t>
      </w:r>
      <w:r>
        <w:rPr>
          <w:rFonts w:hint="eastAsia"/>
          <w:color w:val="auto"/>
          <w:kern w:val="0"/>
          <w:highlight w:val="none"/>
          <w:lang w:val="en-US" w:eastAsia="zh-CN"/>
        </w:rPr>
        <w:t>6</w:t>
      </w:r>
      <w:r>
        <w:rPr>
          <w:rFonts w:hint="eastAsia"/>
          <w:color w:val="auto"/>
          <w:kern w:val="0"/>
          <w:highlight w:val="none"/>
        </w:rPr>
        <w:t>年</w:t>
      </w:r>
      <w:r>
        <w:rPr>
          <w:rFonts w:hint="eastAsia"/>
          <w:color w:val="auto"/>
          <w:kern w:val="0"/>
          <w:highlight w:val="none"/>
          <w:lang w:val="en-US" w:eastAsia="zh-CN"/>
        </w:rPr>
        <w:t>5</w:t>
      </w:r>
      <w:r>
        <w:rPr>
          <w:rFonts w:hint="eastAsia"/>
          <w:color w:val="auto"/>
          <w:kern w:val="0"/>
          <w:highlight w:val="none"/>
        </w:rPr>
        <w:t>月</w:t>
      </w:r>
      <w:r>
        <w:rPr>
          <w:rFonts w:hint="eastAsia"/>
          <w:color w:val="auto"/>
          <w:kern w:val="0"/>
          <w:highlight w:val="none"/>
          <w:lang w:val="en-US" w:eastAsia="zh-CN"/>
        </w:rPr>
        <w:t>27</w:t>
      </w:r>
      <w:r>
        <w:rPr>
          <w:rFonts w:hint="eastAsia"/>
          <w:color w:val="auto"/>
          <w:kern w:val="0"/>
          <w:highlight w:val="none"/>
        </w:rPr>
        <w:t xml:space="preserve">日，衡阳市水利局对本项目水土保持方案进行了批复， </w:t>
      </w:r>
    </w:p>
    <w:p>
      <w:pPr>
        <w:widowControl/>
        <w:jc w:val="left"/>
        <w:rPr>
          <w:color w:val="auto"/>
          <w:highlight w:val="none"/>
        </w:rPr>
      </w:pPr>
      <w:r>
        <w:rPr>
          <w:rFonts w:hint="eastAsia"/>
          <w:color w:val="auto"/>
          <w:kern w:val="0"/>
          <w:highlight w:val="none"/>
        </w:rPr>
        <w:t>并出具了批文《</w:t>
      </w:r>
      <w:r>
        <w:rPr>
          <w:rFonts w:hint="eastAsia"/>
          <w:color w:val="auto"/>
          <w:kern w:val="0"/>
          <w:highlight w:val="none"/>
          <w:lang w:val="en-US" w:eastAsia="zh-CN"/>
        </w:rPr>
        <w:t>衡阳市水利局关于廻雁峰公园地下停车场项目水土保持方案的批复</w:t>
      </w:r>
      <w:r>
        <w:rPr>
          <w:rFonts w:hint="eastAsia"/>
          <w:color w:val="auto"/>
          <w:kern w:val="0"/>
          <w:highlight w:val="none"/>
        </w:rPr>
        <w:t>》（衡水许〔</w:t>
      </w:r>
      <w:r>
        <w:rPr>
          <w:rFonts w:ascii="Times New Roman" w:hAnsi="Times New Roman"/>
          <w:color w:val="auto"/>
          <w:kern w:val="0"/>
          <w:highlight w:val="none"/>
        </w:rPr>
        <w:t>201</w:t>
      </w:r>
      <w:r>
        <w:rPr>
          <w:rFonts w:hint="eastAsia"/>
          <w:color w:val="auto"/>
          <w:kern w:val="0"/>
          <w:highlight w:val="none"/>
          <w:lang w:val="en-US" w:eastAsia="zh-CN"/>
        </w:rPr>
        <w:t>6</w:t>
      </w:r>
      <w:r>
        <w:rPr>
          <w:rFonts w:hint="eastAsia"/>
          <w:color w:val="auto"/>
          <w:kern w:val="0"/>
          <w:highlight w:val="none"/>
        </w:rPr>
        <w:t>〕</w:t>
      </w:r>
      <w:r>
        <w:rPr>
          <w:rFonts w:ascii="Times New Roman" w:hAnsi="Times New Roman"/>
          <w:color w:val="auto"/>
          <w:kern w:val="0"/>
          <w:highlight w:val="none"/>
        </w:rPr>
        <w:t>1</w:t>
      </w:r>
      <w:r>
        <w:rPr>
          <w:rFonts w:hint="eastAsia"/>
          <w:color w:val="auto"/>
          <w:kern w:val="0"/>
          <w:highlight w:val="none"/>
          <w:lang w:val="en-US" w:eastAsia="zh-CN"/>
        </w:rPr>
        <w:t>7</w:t>
      </w:r>
      <w:r>
        <w:rPr>
          <w:rFonts w:hint="eastAsia"/>
          <w:color w:val="auto"/>
          <w:kern w:val="0"/>
          <w:highlight w:val="none"/>
        </w:rPr>
        <w:t xml:space="preserve">号）。 </w:t>
      </w:r>
    </w:p>
    <w:p>
      <w:pPr>
        <w:pStyle w:val="5"/>
        <w:bidi w:val="0"/>
        <w:rPr>
          <w:color w:val="auto"/>
          <w:highlight w:val="none"/>
        </w:rPr>
      </w:pPr>
      <w:bookmarkStart w:id="6" w:name="_Toc20817"/>
      <w:r>
        <w:rPr>
          <w:color w:val="auto"/>
          <w:highlight w:val="none"/>
        </w:rPr>
        <w:t xml:space="preserve">1.2.2 </w:t>
      </w:r>
      <w:r>
        <w:rPr>
          <w:rFonts w:hint="eastAsia"/>
          <w:color w:val="auto"/>
          <w:highlight w:val="none"/>
        </w:rPr>
        <w:t>水土保持方案变更</w:t>
      </w:r>
      <w:bookmarkEnd w:id="6"/>
      <w:r>
        <w:rPr>
          <w:rFonts w:hint="eastAsia"/>
          <w:color w:val="auto"/>
          <w:highlight w:val="none"/>
        </w:rPr>
        <w:t xml:space="preserve"> </w:t>
      </w:r>
    </w:p>
    <w:p>
      <w:pPr>
        <w:widowControl/>
        <w:jc w:val="left"/>
        <w:rPr>
          <w:color w:val="auto"/>
          <w:highlight w:val="none"/>
        </w:rPr>
      </w:pPr>
      <w:r>
        <w:rPr>
          <w:rFonts w:hint="eastAsia"/>
          <w:color w:val="auto"/>
          <w:kern w:val="0"/>
          <w:highlight w:val="none"/>
        </w:rPr>
        <w:t>对照《水利部生产建设项目水土保持方案变更管理规定</w:t>
      </w:r>
      <w:r>
        <w:rPr>
          <w:rFonts w:ascii="Times New Roman" w:hAnsi="Times New Roman"/>
          <w:color w:val="auto"/>
          <w:kern w:val="0"/>
          <w:highlight w:val="none"/>
        </w:rPr>
        <w:t>(</w:t>
      </w:r>
      <w:r>
        <w:rPr>
          <w:rFonts w:hint="eastAsia"/>
          <w:color w:val="auto"/>
          <w:kern w:val="0"/>
          <w:highlight w:val="none"/>
        </w:rPr>
        <w:t>试行</w:t>
      </w:r>
      <w:r>
        <w:rPr>
          <w:rFonts w:ascii="Times New Roman" w:hAnsi="Times New Roman"/>
          <w:color w:val="auto"/>
          <w:kern w:val="0"/>
          <w:highlight w:val="none"/>
        </w:rPr>
        <w:t>)</w:t>
      </w:r>
      <w:r>
        <w:rPr>
          <w:rFonts w:hint="eastAsia"/>
          <w:color w:val="auto"/>
          <w:kern w:val="0"/>
          <w:highlight w:val="none"/>
        </w:rPr>
        <w:t>的通知》（办水保</w:t>
      </w:r>
      <w:r>
        <w:rPr>
          <w:rFonts w:ascii="Times New Roman" w:hAnsi="Times New Roman"/>
          <w:color w:val="auto"/>
          <w:kern w:val="0"/>
          <w:highlight w:val="none"/>
        </w:rPr>
        <w:t xml:space="preserve">[2016]65 </w:t>
      </w:r>
      <w:r>
        <w:rPr>
          <w:rFonts w:hint="eastAsia"/>
          <w:color w:val="auto"/>
          <w:kern w:val="0"/>
          <w:highlight w:val="none"/>
        </w:rPr>
        <w:t xml:space="preserve">号）第三条、第四条、第五条，本工程不涉及水土保持重大变更。但水土保持1.建设项目及水土保持工作概况方案的设计为可行性研究阶段，由于设计深度的原因，方案设计与工程施工两阶段的水土保持工程量势必发生不同程度的变化。 </w:t>
      </w:r>
    </w:p>
    <w:p>
      <w:pPr>
        <w:widowControl/>
        <w:jc w:val="left"/>
        <w:rPr>
          <w:color w:val="auto"/>
          <w:highlight w:val="none"/>
        </w:rPr>
      </w:pPr>
      <w:r>
        <w:rPr>
          <w:rFonts w:ascii="Times New Roman" w:hAnsi="Times New Roman"/>
          <w:b/>
          <w:bCs/>
          <w:color w:val="auto"/>
          <w:kern w:val="0"/>
          <w:highlight w:val="none"/>
        </w:rPr>
        <w:t>1</w:t>
      </w:r>
      <w:r>
        <w:rPr>
          <w:rFonts w:hint="eastAsia"/>
          <w:b/>
          <w:bCs/>
          <w:color w:val="auto"/>
          <w:kern w:val="0"/>
          <w:highlight w:val="none"/>
        </w:rPr>
        <w:t xml:space="preserve">、项目地点及规模变更情况 </w:t>
      </w:r>
    </w:p>
    <w:p>
      <w:pPr>
        <w:widowControl/>
        <w:jc w:val="left"/>
        <w:rPr>
          <w:color w:val="auto"/>
          <w:highlight w:val="none"/>
        </w:rPr>
      </w:pPr>
      <w:r>
        <w:rPr>
          <w:rFonts w:hint="eastAsia"/>
          <w:color w:val="auto"/>
          <w:kern w:val="0"/>
          <w:highlight w:val="none"/>
        </w:rPr>
        <w:t xml:space="preserve">a）主体工程可研阶段选址属于湘资沅中游国家级水土流失重点治理区范围。实际工程位置与可研阶段一致，不构成重大变更。 </w:t>
      </w:r>
    </w:p>
    <w:p>
      <w:pPr>
        <w:widowControl/>
        <w:jc w:val="left"/>
        <w:rPr>
          <w:color w:val="auto"/>
          <w:highlight w:val="none"/>
        </w:rPr>
      </w:pPr>
      <w:r>
        <w:rPr>
          <w:rFonts w:hint="eastAsia"/>
          <w:color w:val="auto"/>
          <w:kern w:val="0"/>
          <w:highlight w:val="none"/>
        </w:rPr>
        <w:t>b）批复的水土保持方案确定的水土流失防治责任范围为</w:t>
      </w:r>
      <w:r>
        <w:rPr>
          <w:rFonts w:hint="eastAsia"/>
          <w:color w:val="auto"/>
          <w:kern w:val="0"/>
          <w:highlight w:val="none"/>
          <w:lang w:val="en-US" w:eastAsia="zh-CN"/>
        </w:rPr>
        <w:t>8.49</w:t>
      </w:r>
      <w:r>
        <w:rPr>
          <w:rFonts w:ascii="Times New Roman" w:hAnsi="Times New Roman"/>
          <w:color w:val="auto"/>
          <w:kern w:val="0"/>
          <w:highlight w:val="none"/>
        </w:rPr>
        <w:t>h</w:t>
      </w:r>
      <w:r>
        <w:rPr>
          <w:rFonts w:hint="eastAsia" w:ascii="Times New Roman" w:hAnsi="Times New Roman"/>
          <w:color w:val="auto"/>
          <w:kern w:val="0"/>
          <w:highlight w:val="none"/>
          <w:lang w:eastAsia="zh-CN"/>
        </w:rPr>
        <w:t>㎡</w:t>
      </w:r>
      <w:r>
        <w:rPr>
          <w:rFonts w:hint="eastAsia"/>
          <w:color w:val="auto"/>
          <w:kern w:val="0"/>
          <w:highlight w:val="none"/>
        </w:rPr>
        <w:t>，项目建设区</w:t>
      </w:r>
      <w:r>
        <w:rPr>
          <w:rFonts w:hint="eastAsia"/>
          <w:color w:val="auto"/>
          <w:kern w:val="0"/>
          <w:highlight w:val="none"/>
          <w:lang w:val="en-US" w:eastAsia="zh-CN"/>
        </w:rPr>
        <w:t>8.09</w:t>
      </w:r>
      <w:r>
        <w:rPr>
          <w:rFonts w:ascii="Times New Roman" w:hAnsi="Times New Roman"/>
          <w:color w:val="auto"/>
          <w:kern w:val="0"/>
          <w:highlight w:val="none"/>
        </w:rPr>
        <w:t>h</w:t>
      </w:r>
      <w:r>
        <w:rPr>
          <w:rFonts w:hint="eastAsia" w:ascii="Times New Roman" w:hAnsi="Times New Roman"/>
          <w:color w:val="auto"/>
          <w:kern w:val="0"/>
          <w:highlight w:val="none"/>
          <w:lang w:eastAsia="zh-CN"/>
        </w:rPr>
        <w:t>㎡</w:t>
      </w:r>
      <w:r>
        <w:rPr>
          <w:rFonts w:hint="eastAsia"/>
          <w:color w:val="auto"/>
          <w:kern w:val="0"/>
          <w:highlight w:val="none"/>
        </w:rPr>
        <w:t>，直接影响区</w:t>
      </w:r>
      <w:r>
        <w:rPr>
          <w:rFonts w:ascii="Times New Roman" w:hAnsi="Times New Roman"/>
          <w:color w:val="auto"/>
          <w:kern w:val="0"/>
          <w:highlight w:val="none"/>
        </w:rPr>
        <w:t>0.</w:t>
      </w:r>
      <w:r>
        <w:rPr>
          <w:rFonts w:hint="eastAsia"/>
          <w:color w:val="auto"/>
          <w:kern w:val="0"/>
          <w:highlight w:val="none"/>
          <w:lang w:val="en-US" w:eastAsia="zh-CN"/>
        </w:rPr>
        <w:t>4</w:t>
      </w:r>
      <w:r>
        <w:rPr>
          <w:rFonts w:ascii="Times New Roman" w:hAnsi="Times New Roman"/>
          <w:color w:val="auto"/>
          <w:kern w:val="0"/>
          <w:highlight w:val="none"/>
        </w:rPr>
        <w:t>h</w:t>
      </w:r>
      <w:r>
        <w:rPr>
          <w:rFonts w:hint="eastAsia" w:ascii="Times New Roman" w:hAnsi="Times New Roman"/>
          <w:color w:val="auto"/>
          <w:kern w:val="0"/>
          <w:highlight w:val="none"/>
          <w:lang w:eastAsia="zh-CN"/>
        </w:rPr>
        <w:t>㎡</w:t>
      </w:r>
      <w:r>
        <w:rPr>
          <w:rFonts w:hint="eastAsia"/>
          <w:color w:val="auto"/>
          <w:kern w:val="0"/>
          <w:highlight w:val="none"/>
        </w:rPr>
        <w:t>。项目区实际水土流失防治责任范围为</w:t>
      </w:r>
      <w:r>
        <w:rPr>
          <w:rFonts w:hint="eastAsia"/>
          <w:color w:val="auto"/>
          <w:kern w:val="0"/>
          <w:highlight w:val="none"/>
          <w:lang w:val="en-US" w:eastAsia="zh-CN"/>
        </w:rPr>
        <w:t>8.49</w:t>
      </w:r>
      <w:r>
        <w:rPr>
          <w:rFonts w:ascii="Times New Roman" w:hAnsi="Times New Roman"/>
          <w:color w:val="auto"/>
          <w:kern w:val="0"/>
          <w:highlight w:val="none"/>
        </w:rPr>
        <w:t>h</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，均为项目建设区。相比批复的水土保持方案</w:t>
      </w:r>
      <w:r>
        <w:rPr>
          <w:rFonts w:hint="eastAsia"/>
          <w:color w:val="auto"/>
          <w:kern w:val="0"/>
          <w:highlight w:val="none"/>
          <w:lang w:eastAsia="zh-CN"/>
        </w:rPr>
        <w:t>，</w:t>
      </w:r>
      <w:r>
        <w:rPr>
          <w:rFonts w:hint="eastAsia"/>
          <w:color w:val="auto"/>
          <w:kern w:val="0"/>
          <w:highlight w:val="none"/>
        </w:rPr>
        <w:t>防治责任范围减少</w:t>
      </w:r>
      <w:r>
        <w:rPr>
          <w:rFonts w:ascii="Times New Roman" w:hAnsi="Times New Roman"/>
          <w:color w:val="auto"/>
          <w:kern w:val="0"/>
          <w:highlight w:val="none"/>
        </w:rPr>
        <w:t>0h</w:t>
      </w:r>
      <w:r>
        <w:rPr>
          <w:rFonts w:hint="eastAsia" w:ascii="Times New Roman" w:hAnsi="Times New Roman"/>
          <w:color w:val="auto"/>
          <w:kern w:val="0"/>
          <w:highlight w:val="none"/>
          <w:lang w:eastAsia="zh-CN"/>
        </w:rPr>
        <w:t>㎡</w:t>
      </w:r>
      <w:r>
        <w:rPr>
          <w:rFonts w:hint="eastAsia"/>
          <w:color w:val="auto"/>
          <w:kern w:val="0"/>
          <w:highlight w:val="none"/>
          <w:lang w:eastAsia="zh-CN"/>
        </w:rPr>
        <w:t>，</w:t>
      </w:r>
      <w:r>
        <w:rPr>
          <w:rFonts w:hint="eastAsia"/>
          <w:color w:val="auto"/>
          <w:kern w:val="0"/>
          <w:highlight w:val="none"/>
        </w:rPr>
        <w:t>减少</w:t>
      </w:r>
      <w:r>
        <w:rPr>
          <w:rFonts w:hint="eastAsia"/>
          <w:color w:val="auto"/>
          <w:kern w:val="0"/>
          <w:highlight w:val="none"/>
          <w:lang w:val="en-US" w:eastAsia="zh-CN"/>
        </w:rPr>
        <w:t>0</w:t>
      </w:r>
      <w:r>
        <w:rPr>
          <w:rFonts w:ascii="Times New Roman" w:hAnsi="Times New Roman"/>
          <w:color w:val="auto"/>
          <w:kern w:val="0"/>
          <w:highlight w:val="none"/>
        </w:rPr>
        <w:t>%</w:t>
      </w:r>
      <w:r>
        <w:rPr>
          <w:rFonts w:hint="eastAsia"/>
          <w:color w:val="auto"/>
          <w:kern w:val="0"/>
          <w:highlight w:val="none"/>
          <w:lang w:eastAsia="zh-CN"/>
        </w:rPr>
        <w:t>，</w:t>
      </w:r>
      <w:r>
        <w:rPr>
          <w:rFonts w:hint="eastAsia"/>
          <w:color w:val="auto"/>
          <w:kern w:val="0"/>
          <w:highlight w:val="none"/>
        </w:rPr>
        <w:t xml:space="preserve">不构成重大变更。 </w:t>
      </w:r>
    </w:p>
    <w:p>
      <w:pPr>
        <w:widowControl/>
        <w:jc w:val="left"/>
        <w:rPr>
          <w:color w:val="auto"/>
          <w:highlight w:val="none"/>
        </w:rPr>
      </w:pPr>
      <w:r>
        <w:rPr>
          <w:rFonts w:hint="eastAsia"/>
          <w:color w:val="auto"/>
          <w:kern w:val="0"/>
          <w:highlight w:val="none"/>
        </w:rPr>
        <w:t xml:space="preserve">c）批复的水土保持方案确定的工程土石方总量 </w:t>
      </w:r>
      <w:r>
        <w:rPr>
          <w:rFonts w:hint="eastAsia"/>
          <w:color w:val="auto"/>
          <w:kern w:val="0"/>
          <w:highlight w:val="none"/>
          <w:lang w:val="en-US" w:eastAsia="zh-CN"/>
        </w:rPr>
        <w:t>71.20</w:t>
      </w:r>
      <w:r>
        <w:rPr>
          <w:rFonts w:hint="eastAsia"/>
          <w:color w:val="auto"/>
          <w:kern w:val="0"/>
          <w:highlight w:val="none"/>
        </w:rPr>
        <w:t>万</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 xml:space="preserve">，其中挖方 </w:t>
      </w:r>
      <w:r>
        <w:rPr>
          <w:rFonts w:hint="eastAsia"/>
          <w:color w:val="auto"/>
          <w:kern w:val="0"/>
          <w:highlight w:val="none"/>
          <w:lang w:val="en-US" w:eastAsia="zh-CN"/>
        </w:rPr>
        <w:t>44.54</w:t>
      </w:r>
      <w:r>
        <w:rPr>
          <w:rFonts w:hint="eastAsia"/>
          <w:color w:val="auto"/>
          <w:kern w:val="0"/>
          <w:highlight w:val="none"/>
        </w:rPr>
        <w:t>万</w:t>
      </w:r>
      <w:r>
        <w:rPr>
          <w:rFonts w:hint="eastAsia" w:ascii="Times New Roman" w:hAnsi="Times New Roman"/>
          <w:color w:val="auto"/>
          <w:kern w:val="0"/>
          <w:highlight w:val="none"/>
          <w:lang w:eastAsia="zh-CN"/>
        </w:rPr>
        <w:t>㎥</w:t>
      </w:r>
      <w:r>
        <w:rPr>
          <w:rFonts w:hint="eastAsia"/>
          <w:color w:val="auto"/>
          <w:kern w:val="0"/>
          <w:highlight w:val="none"/>
          <w:lang w:eastAsia="zh-CN"/>
        </w:rPr>
        <w:t>，</w:t>
      </w:r>
      <w:r>
        <w:rPr>
          <w:rFonts w:hint="eastAsia"/>
          <w:color w:val="auto"/>
          <w:kern w:val="0"/>
          <w:highlight w:val="none"/>
        </w:rPr>
        <w:t>填</w:t>
      </w:r>
      <w:r>
        <w:rPr>
          <w:rFonts w:hint="eastAsia"/>
          <w:color w:val="auto"/>
          <w:kern w:val="0"/>
          <w:highlight w:val="none"/>
          <w:lang w:val="en-US" w:eastAsia="zh-CN"/>
        </w:rPr>
        <w:t>26.66</w:t>
      </w:r>
      <w:r>
        <w:rPr>
          <w:rFonts w:hint="eastAsia"/>
          <w:color w:val="auto"/>
          <w:kern w:val="0"/>
          <w:highlight w:val="none"/>
        </w:rPr>
        <w:t>万</w:t>
      </w:r>
      <w:r>
        <w:rPr>
          <w:rFonts w:hint="eastAsia" w:ascii="Times New Roman" w:hAnsi="Times New Roman"/>
          <w:color w:val="auto"/>
          <w:kern w:val="0"/>
          <w:highlight w:val="none"/>
          <w:lang w:eastAsia="zh-CN"/>
        </w:rPr>
        <w:t>㎥</w:t>
      </w:r>
      <w:r>
        <w:rPr>
          <w:rFonts w:hint="eastAsia"/>
          <w:color w:val="auto"/>
          <w:kern w:val="0"/>
          <w:highlight w:val="none"/>
          <w:lang w:eastAsia="zh-CN"/>
        </w:rPr>
        <w:t>；</w:t>
      </w:r>
      <w:r>
        <w:rPr>
          <w:rFonts w:hint="eastAsia"/>
          <w:color w:val="auto"/>
          <w:kern w:val="0"/>
          <w:highlight w:val="none"/>
          <w:lang w:val="en-US" w:eastAsia="zh-CN"/>
        </w:rPr>
        <w:t>因A、B区在2020年竣工验收，C区因其它原因未开工，现</w:t>
      </w:r>
      <w:r>
        <w:rPr>
          <w:rFonts w:hint="eastAsia"/>
          <w:color w:val="auto"/>
          <w:kern w:val="0"/>
          <w:highlight w:val="none"/>
        </w:rPr>
        <w:t>实际施工中工程土石方总量</w:t>
      </w:r>
      <w:r>
        <w:rPr>
          <w:rFonts w:hint="eastAsia"/>
          <w:color w:val="auto"/>
          <w:kern w:val="0"/>
          <w:highlight w:val="none"/>
          <w:lang w:val="en-US" w:eastAsia="zh-CN"/>
        </w:rPr>
        <w:t>35.62</w:t>
      </w:r>
      <w:r>
        <w:rPr>
          <w:rFonts w:hint="eastAsia"/>
          <w:color w:val="auto"/>
          <w:kern w:val="0"/>
          <w:highlight w:val="none"/>
        </w:rPr>
        <w:t>万</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，挖方</w:t>
      </w:r>
      <w:r>
        <w:rPr>
          <w:rFonts w:hint="eastAsia"/>
          <w:color w:val="auto"/>
          <w:kern w:val="0"/>
          <w:highlight w:val="none"/>
          <w:lang w:val="en-US" w:eastAsia="zh-CN"/>
        </w:rPr>
        <w:t>21.70</w:t>
      </w:r>
      <w:r>
        <w:rPr>
          <w:rFonts w:hint="eastAsia"/>
          <w:color w:val="auto"/>
          <w:kern w:val="0"/>
          <w:highlight w:val="none"/>
        </w:rPr>
        <w:t xml:space="preserve">万 </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，填方</w:t>
      </w:r>
      <w:r>
        <w:rPr>
          <w:rFonts w:hint="eastAsia"/>
          <w:color w:val="auto"/>
          <w:kern w:val="0"/>
          <w:highlight w:val="none"/>
          <w:lang w:val="en-US" w:eastAsia="zh-CN"/>
        </w:rPr>
        <w:t>13.92</w:t>
      </w:r>
      <w:r>
        <w:rPr>
          <w:rFonts w:hint="eastAsia"/>
          <w:color w:val="auto"/>
          <w:kern w:val="0"/>
          <w:highlight w:val="none"/>
        </w:rPr>
        <w:t>万</w:t>
      </w:r>
      <w:r>
        <w:rPr>
          <w:rFonts w:hint="eastAsia" w:ascii="Times New Roman" w:hAnsi="Times New Roman"/>
          <w:color w:val="auto"/>
          <w:kern w:val="0"/>
          <w:highlight w:val="none"/>
          <w:lang w:eastAsia="zh-CN"/>
        </w:rPr>
        <w:t>㎥</w:t>
      </w:r>
      <w:r>
        <w:rPr>
          <w:rFonts w:hint="eastAsia"/>
          <w:color w:val="auto"/>
          <w:kern w:val="0"/>
          <w:highlight w:val="none"/>
          <w:lang w:eastAsia="zh-CN"/>
        </w:rPr>
        <w:t>；</w:t>
      </w:r>
      <w:r>
        <w:rPr>
          <w:rFonts w:hint="eastAsia"/>
          <w:color w:val="auto"/>
          <w:kern w:val="0"/>
          <w:highlight w:val="none"/>
        </w:rPr>
        <w:t>相比批复的水土保持方案，挖填总量增加</w:t>
      </w:r>
      <w:r>
        <w:rPr>
          <w:rFonts w:ascii="Times New Roman" w:hAnsi="Times New Roman"/>
          <w:color w:val="auto"/>
          <w:kern w:val="0"/>
          <w:highlight w:val="none"/>
        </w:rPr>
        <w:t>7.44</w:t>
      </w:r>
      <w:r>
        <w:rPr>
          <w:rFonts w:hint="eastAsia"/>
          <w:color w:val="auto"/>
          <w:kern w:val="0"/>
          <w:highlight w:val="none"/>
        </w:rPr>
        <w:t>万</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，增加</w:t>
      </w:r>
      <w:r>
        <w:rPr>
          <w:rFonts w:ascii="Times New Roman" w:hAnsi="Times New Roman"/>
          <w:color w:val="auto"/>
          <w:kern w:val="0"/>
          <w:highlight w:val="none"/>
        </w:rPr>
        <w:t>9.35%</w:t>
      </w:r>
      <w:r>
        <w:rPr>
          <w:rFonts w:hint="eastAsia"/>
          <w:color w:val="auto"/>
          <w:kern w:val="0"/>
          <w:highlight w:val="none"/>
        </w:rPr>
        <w:t xml:space="preserve">，不构成重大变更。 </w:t>
      </w:r>
    </w:p>
    <w:p>
      <w:pPr>
        <w:widowControl/>
        <w:jc w:val="left"/>
        <w:rPr>
          <w:color w:val="auto"/>
          <w:highlight w:val="none"/>
        </w:rPr>
      </w:pPr>
      <w:r>
        <w:rPr>
          <w:rFonts w:hint="eastAsia"/>
          <w:color w:val="auto"/>
          <w:kern w:val="0"/>
          <w:highlight w:val="none"/>
        </w:rPr>
        <w:t>d）批复的水土保持方案未设置临时施工道路，实际施工中，周边交通便利，也</w:t>
      </w:r>
      <w:r>
        <w:rPr>
          <w:rFonts w:hint="eastAsia"/>
          <w:color w:val="auto"/>
          <w:kern w:val="0"/>
          <w:highlight w:val="none"/>
          <w:lang w:val="en-US" w:eastAsia="zh-CN"/>
        </w:rPr>
        <w:t>未</w:t>
      </w:r>
      <w:r>
        <w:rPr>
          <w:rFonts w:hint="eastAsia"/>
          <w:color w:val="auto"/>
          <w:kern w:val="0"/>
          <w:highlight w:val="none"/>
        </w:rPr>
        <w:t xml:space="preserve">设置临时道路。 </w:t>
      </w:r>
    </w:p>
    <w:p>
      <w:pPr>
        <w:widowControl/>
        <w:jc w:val="left"/>
        <w:rPr>
          <w:color w:val="auto"/>
          <w:highlight w:val="none"/>
        </w:rPr>
      </w:pPr>
      <w:r>
        <w:rPr>
          <w:rFonts w:ascii="Times New Roman" w:hAnsi="Times New Roman"/>
          <w:b/>
          <w:bCs/>
          <w:color w:val="auto"/>
          <w:kern w:val="0"/>
          <w:highlight w:val="none"/>
        </w:rPr>
        <w:t>2</w:t>
      </w:r>
      <w:r>
        <w:rPr>
          <w:rFonts w:hint="eastAsia"/>
          <w:b/>
          <w:bCs/>
          <w:color w:val="auto"/>
          <w:kern w:val="0"/>
          <w:highlight w:val="none"/>
        </w:rPr>
        <w:t xml:space="preserve">、水土保持措施变更情况 </w:t>
      </w:r>
    </w:p>
    <w:p>
      <w:pPr>
        <w:widowControl/>
        <w:jc w:val="left"/>
        <w:rPr>
          <w:color w:val="auto"/>
          <w:highlight w:val="none"/>
        </w:rPr>
      </w:pPr>
      <w:r>
        <w:rPr>
          <w:rFonts w:hint="eastAsia"/>
          <w:color w:val="auto"/>
          <w:kern w:val="0"/>
          <w:highlight w:val="none"/>
        </w:rPr>
        <w:t xml:space="preserve">工程实施过程中实施的水土保持措施基本与批复的水土保持方案中确定的措施 体系一致，因此工程建设过程中不存在水土保持重要单位工程措施体系发生变化，而导 致水土保持功能显著降低或丧失的的情形，不构成重大变更。 </w:t>
      </w:r>
    </w:p>
    <w:p>
      <w:pPr>
        <w:widowControl/>
        <w:jc w:val="left"/>
        <w:rPr>
          <w:color w:val="auto"/>
          <w:highlight w:val="none"/>
        </w:rPr>
      </w:pPr>
      <w:r>
        <w:rPr>
          <w:rFonts w:ascii="Times New Roman" w:hAnsi="Times New Roman"/>
          <w:b/>
          <w:bCs/>
          <w:color w:val="auto"/>
          <w:kern w:val="0"/>
          <w:highlight w:val="none"/>
        </w:rPr>
        <w:t>3</w:t>
      </w:r>
      <w:r>
        <w:rPr>
          <w:rFonts w:hint="eastAsia"/>
          <w:b/>
          <w:bCs/>
          <w:color w:val="auto"/>
          <w:kern w:val="0"/>
          <w:highlight w:val="none"/>
        </w:rPr>
        <w:t xml:space="preserve">、弃渣场变更情况 </w:t>
      </w:r>
    </w:p>
    <w:p>
      <w:pPr>
        <w:widowControl/>
        <w:jc w:val="left"/>
        <w:rPr>
          <w:color w:val="auto"/>
          <w:highlight w:val="none"/>
        </w:rPr>
      </w:pPr>
      <w:r>
        <w:rPr>
          <w:rFonts w:hint="eastAsia"/>
          <w:color w:val="auto"/>
          <w:kern w:val="0"/>
          <w:highlight w:val="none"/>
        </w:rPr>
        <w:t>根据批复的水土保持方案报告书，本项目</w:t>
      </w:r>
      <w:r>
        <w:rPr>
          <w:rFonts w:hint="eastAsia"/>
          <w:color w:val="auto"/>
          <w:kern w:val="0"/>
          <w:highlight w:val="none"/>
          <w:lang w:val="en-US" w:eastAsia="zh-CN"/>
        </w:rPr>
        <w:t>总</w:t>
      </w:r>
      <w:r>
        <w:rPr>
          <w:rFonts w:hint="eastAsia"/>
          <w:color w:val="auto"/>
          <w:kern w:val="0"/>
          <w:highlight w:val="none"/>
        </w:rPr>
        <w:t>挖方</w:t>
      </w:r>
      <w:r>
        <w:rPr>
          <w:rFonts w:hint="eastAsia"/>
          <w:color w:val="auto"/>
          <w:kern w:val="0"/>
          <w:highlight w:val="none"/>
          <w:lang w:val="en-US" w:eastAsia="zh-CN"/>
        </w:rPr>
        <w:t>量44.54</w:t>
      </w:r>
      <w:r>
        <w:rPr>
          <w:rFonts w:hint="eastAsia"/>
          <w:color w:val="auto"/>
          <w:kern w:val="0"/>
          <w:highlight w:val="none"/>
        </w:rPr>
        <w:t>万</w:t>
      </w:r>
      <w:r>
        <w:rPr>
          <w:rFonts w:hint="eastAsia" w:ascii="Times New Roman" w:hAnsi="Times New Roman"/>
          <w:color w:val="auto"/>
          <w:kern w:val="0"/>
          <w:highlight w:val="none"/>
          <w:lang w:eastAsia="zh-CN"/>
        </w:rPr>
        <w:t>㎥</w:t>
      </w:r>
      <w:r>
        <w:rPr>
          <w:rFonts w:hint="eastAsia"/>
          <w:color w:val="auto"/>
          <w:kern w:val="0"/>
          <w:highlight w:val="none"/>
          <w:lang w:eastAsia="zh-CN"/>
        </w:rPr>
        <w:t>，</w:t>
      </w:r>
      <w:r>
        <w:rPr>
          <w:rFonts w:hint="eastAsia"/>
          <w:color w:val="auto"/>
          <w:kern w:val="0"/>
          <w:highlight w:val="none"/>
          <w:lang w:val="en-US" w:eastAsia="zh-CN"/>
        </w:rPr>
        <w:t>总</w:t>
      </w:r>
      <w:r>
        <w:rPr>
          <w:rFonts w:hint="eastAsia"/>
          <w:color w:val="auto"/>
          <w:kern w:val="0"/>
          <w:highlight w:val="none"/>
        </w:rPr>
        <w:t>填</w:t>
      </w:r>
      <w:r>
        <w:rPr>
          <w:rFonts w:hint="eastAsia"/>
          <w:color w:val="auto"/>
          <w:kern w:val="0"/>
          <w:highlight w:val="none"/>
          <w:lang w:val="en-US" w:eastAsia="zh-CN"/>
        </w:rPr>
        <w:t>方量26.66</w:t>
      </w:r>
      <w:r>
        <w:rPr>
          <w:rFonts w:hint="eastAsia"/>
          <w:color w:val="auto"/>
          <w:kern w:val="0"/>
          <w:highlight w:val="none"/>
        </w:rPr>
        <w:t>万</w:t>
      </w:r>
      <w:r>
        <w:rPr>
          <w:rFonts w:hint="eastAsia" w:ascii="Times New Roman" w:hAnsi="Times New Roman"/>
          <w:color w:val="auto"/>
          <w:kern w:val="0"/>
          <w:highlight w:val="none"/>
          <w:lang w:eastAsia="zh-CN"/>
        </w:rPr>
        <w:t>㎥，</w:t>
      </w:r>
      <w:r>
        <w:rPr>
          <w:rFonts w:hint="eastAsia" w:ascii="Times New Roman" w:hAnsi="Times New Roman"/>
          <w:color w:val="auto"/>
          <w:kern w:val="0"/>
          <w:highlight w:val="none"/>
          <w:lang w:val="en-US" w:eastAsia="zh-CN"/>
        </w:rPr>
        <w:t>余土17.88</w:t>
      </w:r>
      <w:r>
        <w:rPr>
          <w:rFonts w:hint="eastAsia"/>
          <w:color w:val="auto"/>
          <w:kern w:val="0"/>
          <w:highlight w:val="none"/>
        </w:rPr>
        <w:t>万</w:t>
      </w:r>
      <w:r>
        <w:rPr>
          <w:rFonts w:hint="eastAsia" w:ascii="Times New Roman" w:hAnsi="Times New Roman"/>
          <w:color w:val="auto"/>
          <w:kern w:val="0"/>
          <w:highlight w:val="none"/>
          <w:lang w:eastAsia="zh-CN"/>
        </w:rPr>
        <w:t>㎥</w:t>
      </w:r>
      <w:r>
        <w:rPr>
          <w:rFonts w:hint="eastAsia" w:ascii="Times New Roman" w:hAnsi="Times New Roman"/>
          <w:color w:val="auto"/>
          <w:kern w:val="0"/>
          <w:highlight w:val="none"/>
          <w:lang w:val="en-US" w:eastAsia="zh-CN"/>
        </w:rPr>
        <w:t>用于地上廻雁峰</w:t>
      </w:r>
      <w:r>
        <w:rPr>
          <w:rFonts w:hint="eastAsia" w:ascii="仿宋_GB2312" w:hAnsi="仿宋_GB2312" w:eastAsia="仿宋_GB2312" w:cs="仿宋_GB2312"/>
          <w:color w:val="auto"/>
          <w:kern w:val="0"/>
          <w:highlight w:val="none"/>
          <w:lang w:val="en-US" w:eastAsia="zh-CN"/>
        </w:rPr>
        <w:t>·</w:t>
      </w:r>
      <w:r>
        <w:rPr>
          <w:rFonts w:hint="eastAsia" w:ascii="仿宋_GB2312" w:hAnsi="仿宋_GB2312" w:cs="仿宋_GB2312"/>
          <w:color w:val="auto"/>
          <w:kern w:val="0"/>
          <w:highlight w:val="none"/>
          <w:lang w:val="en-US" w:eastAsia="zh-CN"/>
        </w:rPr>
        <w:t>巷荫岭棚户区改造项目。</w:t>
      </w:r>
      <w:r>
        <w:rPr>
          <w:rFonts w:hint="eastAsia"/>
          <w:color w:val="auto"/>
          <w:kern w:val="0"/>
          <w:highlight w:val="none"/>
        </w:rPr>
        <w:t xml:space="preserve">无需设置弃渣永久堆场，不构成重大变更。 </w:t>
      </w:r>
    </w:p>
    <w:p>
      <w:pPr>
        <w:widowControl/>
        <w:jc w:val="left"/>
        <w:rPr>
          <w:color w:val="auto"/>
          <w:highlight w:val="none"/>
        </w:rPr>
      </w:pPr>
      <w:r>
        <w:rPr>
          <w:rFonts w:hint="eastAsia"/>
          <w:color w:val="auto"/>
          <w:kern w:val="0"/>
          <w:highlight w:val="none"/>
        </w:rPr>
        <w:t>根据《水利部办公厅关于印发《水利部生产建设项目水土保持方案变更管理规定（试 行）》的通知》，本项目未达到需要进行水土保持方案变更的条件。</w:t>
      </w:r>
    </w:p>
    <w:p>
      <w:pPr>
        <w:widowControl/>
        <w:jc w:val="center"/>
        <w:rPr>
          <w:rFonts w:hint="eastAsia"/>
          <w:b/>
          <w:bCs/>
          <w:color w:val="auto"/>
          <w:kern w:val="0"/>
          <w:highlight w:val="none"/>
        </w:rPr>
      </w:pPr>
      <w:r>
        <w:rPr>
          <w:rFonts w:hint="eastAsia"/>
          <w:b/>
          <w:bCs/>
          <w:color w:val="auto"/>
          <w:kern w:val="0"/>
          <w:highlight w:val="none"/>
        </w:rPr>
        <w:t>表</w:t>
      </w:r>
      <w:r>
        <w:rPr>
          <w:rFonts w:ascii="Times New Roman" w:hAnsi="Times New Roman"/>
          <w:b/>
          <w:bCs/>
          <w:color w:val="auto"/>
          <w:kern w:val="0"/>
          <w:highlight w:val="none"/>
        </w:rPr>
        <w:t xml:space="preserve">1.2.2 </w:t>
      </w:r>
      <w:r>
        <w:rPr>
          <w:rFonts w:hint="eastAsia"/>
          <w:b/>
          <w:bCs/>
          <w:color w:val="auto"/>
          <w:kern w:val="0"/>
          <w:highlight w:val="none"/>
          <w:lang w:val="en-US" w:eastAsia="zh-CN"/>
        </w:rPr>
        <w:t xml:space="preserve">        </w:t>
      </w:r>
      <w:r>
        <w:rPr>
          <w:rFonts w:hint="eastAsia"/>
          <w:b/>
          <w:bCs/>
          <w:color w:val="auto"/>
          <w:kern w:val="0"/>
          <w:highlight w:val="none"/>
        </w:rPr>
        <w:t>本工程水土保持方案与实际情况变更对照表</w:t>
      </w:r>
    </w:p>
    <w:tbl>
      <w:tblPr>
        <w:tblStyle w:val="2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3" w:type="dxa"/>
        </w:tblCellMar>
      </w:tblPr>
      <w:tblGrid>
        <w:gridCol w:w="837"/>
        <w:gridCol w:w="741"/>
        <w:gridCol w:w="1940"/>
        <w:gridCol w:w="1617"/>
        <w:gridCol w:w="1468"/>
        <w:gridCol w:w="1104"/>
        <w:gridCol w:w="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23" w:hRule="atLeast"/>
          <w:tblHeader/>
          <w:jc w:val="center"/>
        </w:trPr>
        <w:tc>
          <w:tcPr>
            <w:tcW w:w="8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类别</w:t>
            </w:r>
          </w:p>
        </w:tc>
        <w:tc>
          <w:tcPr>
            <w:tcW w:w="7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序号</w:t>
            </w:r>
          </w:p>
        </w:tc>
        <w:tc>
          <w:tcPr>
            <w:tcW w:w="19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b w:val="0"/>
                <w:bCs w:val="0"/>
                <w:color w:val="auto"/>
                <w:kern w:val="0"/>
                <w:sz w:val="18"/>
                <w:szCs w:val="18"/>
                <w:highlight w:val="none"/>
                <w:lang w:val="en-US" w:eastAsia="zh-CN"/>
              </w:rPr>
              <w:t>内容</w:t>
            </w:r>
          </w:p>
        </w:tc>
        <w:tc>
          <w:tcPr>
            <w:tcW w:w="1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b w:val="0"/>
                <w:bCs w:val="0"/>
                <w:color w:val="auto"/>
                <w:kern w:val="0"/>
                <w:sz w:val="18"/>
                <w:szCs w:val="18"/>
                <w:highlight w:val="none"/>
                <w:lang w:val="en-US" w:eastAsia="zh-CN"/>
              </w:rPr>
              <w:t>批复方案</w:t>
            </w:r>
          </w:p>
        </w:tc>
        <w:tc>
          <w:tcPr>
            <w:tcW w:w="14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b w:val="0"/>
                <w:bCs w:val="0"/>
                <w:color w:val="auto"/>
                <w:kern w:val="0"/>
                <w:sz w:val="18"/>
                <w:szCs w:val="18"/>
                <w:highlight w:val="none"/>
                <w:lang w:val="en-US" w:eastAsia="zh-CN"/>
              </w:rPr>
              <w:t>实际工程</w:t>
            </w:r>
          </w:p>
        </w:tc>
        <w:tc>
          <w:tcPr>
            <w:tcW w:w="11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b w:val="0"/>
                <w:bCs w:val="0"/>
                <w:color w:val="auto"/>
                <w:kern w:val="0"/>
                <w:sz w:val="18"/>
                <w:szCs w:val="18"/>
                <w:highlight w:val="none"/>
                <w:lang w:val="en-US" w:eastAsia="zh-CN"/>
              </w:rPr>
              <w:t>变化情况</w:t>
            </w:r>
          </w:p>
        </w:tc>
        <w:tc>
          <w:tcPr>
            <w:tcW w:w="81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b w:val="0"/>
                <w:bCs w:val="0"/>
                <w:color w:val="auto"/>
                <w:kern w:val="0"/>
                <w:sz w:val="18"/>
                <w:szCs w:val="18"/>
                <w:highlight w:val="none"/>
                <w:lang w:val="en-US" w:eastAsia="zh-CN"/>
              </w:rPr>
              <w:t>是否构成重大变更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jc w:val="center"/>
        </w:trPr>
        <w:tc>
          <w:tcPr>
            <w:tcW w:w="837" w:type="dxa"/>
            <w:vMerge w:val="restart"/>
            <w:vAlign w:val="bottom"/>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both"/>
              <w:textAlignment w:val="baseline"/>
              <w:rPr>
                <w:rFonts w:hint="eastAsia" w:ascii="仿宋" w:hAnsi="仿宋" w:eastAsia="仿宋" w:cs="仿宋"/>
                <w:b w:val="0"/>
                <w:bCs w:val="0"/>
                <w:color w:val="auto"/>
                <w:kern w:val="0"/>
                <w:sz w:val="18"/>
                <w:szCs w:val="18"/>
                <w:highlight w:val="no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both"/>
              <w:textAlignment w:val="baseline"/>
              <w:rPr>
                <w:rFonts w:hint="eastAsia" w:ascii="仿宋" w:hAnsi="仿宋" w:eastAsia="仿宋" w:cs="仿宋"/>
                <w:b w:val="0"/>
                <w:bCs w:val="0"/>
                <w:color w:val="auto"/>
                <w:kern w:val="0"/>
                <w:sz w:val="18"/>
                <w:szCs w:val="18"/>
                <w:highlight w:val="no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both"/>
              <w:textAlignment w:val="baseline"/>
              <w:rPr>
                <w:rFonts w:hint="eastAsia" w:ascii="仿宋" w:hAnsi="仿宋" w:eastAsia="仿宋" w:cs="仿宋"/>
                <w:b w:val="0"/>
                <w:bCs w:val="0"/>
                <w:color w:val="auto"/>
                <w:kern w:val="0"/>
                <w:sz w:val="18"/>
                <w:szCs w:val="18"/>
                <w:highlight w:val="no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both"/>
              <w:textAlignment w:val="baseline"/>
              <w:rPr>
                <w:rFonts w:hint="eastAsia" w:ascii="仿宋" w:hAnsi="仿宋" w:eastAsia="仿宋" w:cs="仿宋"/>
                <w:b w:val="0"/>
                <w:bCs w:val="0"/>
                <w:color w:val="auto"/>
                <w:kern w:val="0"/>
                <w:sz w:val="18"/>
                <w:szCs w:val="18"/>
                <w:highlight w:val="no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both"/>
              <w:textAlignment w:val="baseline"/>
              <w:rPr>
                <w:rFonts w:hint="eastAsia" w:ascii="仿宋" w:hAnsi="仿宋" w:eastAsia="仿宋" w:cs="仿宋"/>
                <w:b w:val="0"/>
                <w:bCs w:val="0"/>
                <w:color w:val="auto"/>
                <w:kern w:val="0"/>
                <w:sz w:val="18"/>
                <w:szCs w:val="18"/>
                <w:highlight w:val="no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both"/>
              <w:textAlignment w:val="baseline"/>
              <w:rPr>
                <w:rFonts w:hint="eastAsia" w:ascii="仿宋" w:hAnsi="仿宋" w:eastAsia="仿宋" w:cs="仿宋"/>
                <w:b w:val="0"/>
                <w:bCs w:val="0"/>
                <w:color w:val="auto"/>
                <w:kern w:val="0"/>
                <w:sz w:val="18"/>
                <w:szCs w:val="18"/>
                <w:highlight w:val="no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both"/>
              <w:textAlignment w:val="baseline"/>
              <w:rPr>
                <w:rFonts w:hint="default"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项目地点及规模</w:t>
            </w:r>
          </w:p>
        </w:tc>
        <w:tc>
          <w:tcPr>
            <w:tcW w:w="7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1</w:t>
            </w:r>
          </w:p>
        </w:tc>
        <w:tc>
          <w:tcPr>
            <w:tcW w:w="1940" w:type="dxa"/>
            <w:vAlign w:val="center"/>
          </w:tcPr>
          <w:p>
            <w:pPr>
              <w:keepNext w:val="0"/>
              <w:keepLines w:val="0"/>
              <w:pageBreakBefore w:val="0"/>
              <w:widowControl/>
              <w:kinsoku/>
              <w:wordWrap/>
              <w:overflowPunct/>
              <w:topLinePunct w:val="0"/>
              <w:autoSpaceDE/>
              <w:autoSpaceDN/>
              <w:bidi w:val="0"/>
              <w:adjustRightInd/>
              <w:snapToGrid/>
              <w:spacing w:line="240" w:lineRule="atLeast"/>
              <w:ind w:left="0" w:leftChars="0" w:firstLine="0" w:firstLineChars="0"/>
              <w:jc w:val="left"/>
              <w:textAlignment w:val="auto"/>
              <w:rPr>
                <w:rFonts w:hint="eastAsia" w:ascii="仿宋" w:hAnsi="仿宋" w:eastAsia="仿宋" w:cs="仿宋"/>
                <w:b w:val="0"/>
                <w:bCs w:val="0"/>
                <w:color w:val="auto"/>
                <w:kern w:val="0"/>
                <w:sz w:val="18"/>
                <w:szCs w:val="18"/>
                <w:highlight w:val="none"/>
                <w:lang w:eastAsia="zh-CN"/>
              </w:rPr>
            </w:pPr>
            <w:r>
              <w:rPr>
                <w:rFonts w:hint="eastAsia" w:ascii="仿宋" w:hAnsi="仿宋" w:eastAsia="仿宋" w:cs="仿宋"/>
                <w:color w:val="auto"/>
                <w:kern w:val="0"/>
                <w:sz w:val="18"/>
                <w:szCs w:val="18"/>
                <w:highlight w:val="none"/>
              </w:rPr>
              <w:t>涉及国家级和省级水土流失重点预防区或者重点治理区</w:t>
            </w:r>
            <w:r>
              <w:rPr>
                <w:rFonts w:hint="eastAsia" w:ascii="仿宋" w:hAnsi="仿宋" w:eastAsia="仿宋" w:cs="仿宋"/>
                <w:color w:val="auto"/>
                <w:kern w:val="0"/>
                <w:sz w:val="18"/>
                <w:szCs w:val="18"/>
                <w:highlight w:val="none"/>
                <w:lang w:eastAsia="zh-CN"/>
              </w:rPr>
              <w:t>。</w:t>
            </w:r>
          </w:p>
        </w:tc>
        <w:tc>
          <w:tcPr>
            <w:tcW w:w="1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本项目涉及湘资沅中游国家级水土流失重点治理区范围。</w:t>
            </w:r>
          </w:p>
        </w:tc>
        <w:tc>
          <w:tcPr>
            <w:tcW w:w="1468" w:type="dxa"/>
            <w:vAlign w:val="center"/>
          </w:tcPr>
          <w:p>
            <w:pPr>
              <w:widowControl/>
              <w:spacing w:line="240" w:lineRule="auto"/>
              <w:ind w:left="0" w:leftChars="0" w:firstLine="0" w:firstLineChars="0"/>
              <w:jc w:val="left"/>
              <w:rPr>
                <w:rFonts w:hint="eastAsia" w:ascii="仿宋" w:hAnsi="仿宋" w:eastAsia="仿宋" w:cs="仿宋"/>
                <w:b w:val="0"/>
                <w:bCs w:val="0"/>
                <w:color w:val="auto"/>
                <w:kern w:val="0"/>
                <w:sz w:val="18"/>
                <w:szCs w:val="18"/>
                <w:highlight w:val="none"/>
                <w:lang w:eastAsia="zh-CN"/>
              </w:rPr>
            </w:pPr>
            <w:r>
              <w:rPr>
                <w:rFonts w:hint="eastAsia" w:ascii="仿宋" w:hAnsi="仿宋" w:eastAsia="仿宋" w:cs="仿宋"/>
                <w:color w:val="auto"/>
                <w:kern w:val="0"/>
                <w:sz w:val="18"/>
                <w:szCs w:val="18"/>
                <w:highlight w:val="none"/>
              </w:rPr>
              <w:t>线路经过区域与水保方案一致</w:t>
            </w:r>
            <w:r>
              <w:rPr>
                <w:rFonts w:hint="eastAsia" w:ascii="仿宋" w:hAnsi="仿宋" w:eastAsia="仿宋" w:cs="仿宋"/>
                <w:color w:val="auto"/>
                <w:kern w:val="0"/>
                <w:sz w:val="18"/>
                <w:szCs w:val="18"/>
                <w:highlight w:val="none"/>
                <w:lang w:eastAsia="zh-CN"/>
              </w:rPr>
              <w:t>。</w:t>
            </w:r>
          </w:p>
        </w:tc>
        <w:tc>
          <w:tcPr>
            <w:tcW w:w="11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无变化。</w:t>
            </w:r>
          </w:p>
        </w:tc>
        <w:tc>
          <w:tcPr>
            <w:tcW w:w="81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否</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jc w:val="center"/>
        </w:trPr>
        <w:tc>
          <w:tcPr>
            <w:tcW w:w="8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p>
        </w:tc>
        <w:tc>
          <w:tcPr>
            <w:tcW w:w="7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2</w:t>
            </w:r>
          </w:p>
        </w:tc>
        <w:tc>
          <w:tcPr>
            <w:tcW w:w="19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lang w:eastAsia="zh-CN"/>
              </w:rPr>
            </w:pPr>
            <w:r>
              <w:rPr>
                <w:rFonts w:hint="eastAsia" w:ascii="仿宋" w:hAnsi="仿宋" w:eastAsia="仿宋" w:cs="仿宋"/>
                <w:color w:val="auto"/>
                <w:kern w:val="0"/>
                <w:sz w:val="18"/>
                <w:szCs w:val="18"/>
                <w:highlight w:val="none"/>
              </w:rPr>
              <w:t xml:space="preserve">水土流失防治责任范围增加 </w:t>
            </w:r>
            <w:r>
              <w:rPr>
                <w:rFonts w:hint="eastAsia" w:ascii="仿宋" w:hAnsi="仿宋" w:eastAsia="仿宋" w:cs="仿宋"/>
                <w:color w:val="auto"/>
                <w:kern w:val="0"/>
                <w:sz w:val="18"/>
                <w:szCs w:val="18"/>
                <w:highlight w:val="none"/>
                <w:lang w:val="en-US" w:eastAsia="zh-CN"/>
              </w:rPr>
              <w:t>3</w:t>
            </w:r>
            <w:r>
              <w:rPr>
                <w:rFonts w:hint="eastAsia" w:ascii="仿宋" w:hAnsi="仿宋" w:eastAsia="仿宋" w:cs="仿宋"/>
                <w:color w:val="auto"/>
                <w:kern w:val="0"/>
                <w:sz w:val="18"/>
                <w:szCs w:val="18"/>
                <w:highlight w:val="none"/>
              </w:rPr>
              <w:t>0%以</w:t>
            </w:r>
            <w:r>
              <w:rPr>
                <w:rFonts w:hint="eastAsia" w:ascii="仿宋" w:hAnsi="仿宋" w:eastAsia="仿宋" w:cs="仿宋"/>
                <w:color w:val="auto"/>
                <w:kern w:val="0"/>
                <w:sz w:val="18"/>
                <w:szCs w:val="18"/>
                <w:highlight w:val="none"/>
                <w:lang w:val="en-US" w:eastAsia="zh-CN"/>
              </w:rPr>
              <w:t>上</w:t>
            </w:r>
            <w:r>
              <w:rPr>
                <w:rFonts w:hint="eastAsia" w:ascii="仿宋" w:hAnsi="仿宋" w:eastAsia="仿宋" w:cs="仿宋"/>
                <w:color w:val="auto"/>
                <w:kern w:val="0"/>
                <w:sz w:val="18"/>
                <w:szCs w:val="18"/>
                <w:highlight w:val="none"/>
              </w:rPr>
              <w:t>的</w:t>
            </w:r>
            <w:r>
              <w:rPr>
                <w:rFonts w:hint="eastAsia" w:ascii="仿宋" w:hAnsi="仿宋" w:eastAsia="仿宋" w:cs="仿宋"/>
                <w:color w:val="auto"/>
                <w:kern w:val="0"/>
                <w:sz w:val="18"/>
                <w:szCs w:val="18"/>
                <w:highlight w:val="none"/>
                <w:lang w:eastAsia="zh-CN"/>
              </w:rPr>
              <w:t>。</w:t>
            </w:r>
          </w:p>
        </w:tc>
        <w:tc>
          <w:tcPr>
            <w:tcW w:w="1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水土流失防治责任范围共计</w:t>
            </w:r>
            <w:r>
              <w:rPr>
                <w:rFonts w:hint="eastAsia" w:ascii="仿宋" w:hAnsi="仿宋" w:eastAsia="仿宋" w:cs="仿宋"/>
                <w:color w:val="auto"/>
                <w:kern w:val="0"/>
                <w:sz w:val="18"/>
                <w:szCs w:val="18"/>
                <w:highlight w:val="none"/>
                <w:lang w:val="en-US" w:eastAsia="zh-CN"/>
              </w:rPr>
              <w:t>8.61</w:t>
            </w:r>
            <w:r>
              <w:rPr>
                <w:rFonts w:hint="eastAsia" w:ascii="仿宋" w:hAnsi="仿宋" w:eastAsia="仿宋" w:cs="仿宋"/>
                <w:color w:val="auto"/>
                <w:kern w:val="0"/>
                <w:sz w:val="18"/>
                <w:szCs w:val="18"/>
                <w:highlight w:val="none"/>
              </w:rPr>
              <w:t>h</w:t>
            </w:r>
            <w:r>
              <w:rPr>
                <w:rFonts w:hint="eastAsia" w:ascii="仿宋" w:hAnsi="仿宋" w:eastAsia="仿宋" w:cs="仿宋"/>
                <w:color w:val="auto"/>
                <w:kern w:val="0"/>
                <w:sz w:val="18"/>
                <w:szCs w:val="18"/>
                <w:highlight w:val="none"/>
                <w:lang w:eastAsia="zh-CN"/>
              </w:rPr>
              <w:t>㎡</w:t>
            </w:r>
            <w:r>
              <w:rPr>
                <w:rFonts w:hint="eastAsia" w:ascii="仿宋" w:hAnsi="仿宋" w:eastAsia="仿宋" w:cs="仿宋"/>
                <w:color w:val="auto"/>
                <w:kern w:val="0"/>
                <w:sz w:val="18"/>
                <w:szCs w:val="18"/>
                <w:highlight w:val="none"/>
              </w:rPr>
              <w:t>。</w:t>
            </w:r>
          </w:p>
        </w:tc>
        <w:tc>
          <w:tcPr>
            <w:tcW w:w="1468" w:type="dxa"/>
            <w:vAlign w:val="center"/>
          </w:tcPr>
          <w:p>
            <w:pPr>
              <w:widowControl/>
              <w:spacing w:line="240" w:lineRule="auto"/>
              <w:ind w:left="0" w:leftChars="0" w:firstLine="0" w:firstLineChars="0"/>
              <w:jc w:val="left"/>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水土流失防治责任范围共计</w:t>
            </w:r>
            <w:r>
              <w:rPr>
                <w:rFonts w:hint="eastAsia" w:ascii="仿宋" w:hAnsi="仿宋" w:eastAsia="仿宋" w:cs="仿宋"/>
                <w:color w:val="auto"/>
                <w:kern w:val="0"/>
                <w:sz w:val="18"/>
                <w:szCs w:val="18"/>
                <w:highlight w:val="none"/>
                <w:lang w:val="en-US" w:eastAsia="zh-CN"/>
              </w:rPr>
              <w:t>8.49</w:t>
            </w:r>
            <w:r>
              <w:rPr>
                <w:rFonts w:hint="eastAsia" w:ascii="仿宋" w:hAnsi="仿宋" w:eastAsia="仿宋" w:cs="仿宋"/>
                <w:color w:val="auto"/>
                <w:kern w:val="0"/>
                <w:sz w:val="18"/>
                <w:szCs w:val="18"/>
                <w:highlight w:val="none"/>
              </w:rPr>
              <w:t>h</w:t>
            </w:r>
            <w:r>
              <w:rPr>
                <w:rFonts w:hint="eastAsia" w:ascii="仿宋" w:hAnsi="仿宋" w:eastAsia="仿宋" w:cs="仿宋"/>
                <w:color w:val="auto"/>
                <w:kern w:val="0"/>
                <w:sz w:val="18"/>
                <w:szCs w:val="18"/>
                <w:highlight w:val="none"/>
                <w:lang w:eastAsia="zh-CN"/>
              </w:rPr>
              <w:t>㎡。</w:t>
            </w:r>
          </w:p>
        </w:tc>
        <w:tc>
          <w:tcPr>
            <w:tcW w:w="1104" w:type="dxa"/>
            <w:vAlign w:val="center"/>
          </w:tcPr>
          <w:p>
            <w:pPr>
              <w:widowControl/>
              <w:spacing w:line="240" w:lineRule="auto"/>
              <w:ind w:left="0" w:leftChars="0" w:firstLine="0" w:firstLineChars="0"/>
              <w:jc w:val="left"/>
              <w:rPr>
                <w:rFonts w:hint="eastAsia" w:ascii="仿宋" w:hAnsi="仿宋" w:eastAsia="仿宋" w:cs="仿宋"/>
                <w:b w:val="0"/>
                <w:bCs w:val="0"/>
                <w:color w:val="auto"/>
                <w:kern w:val="0"/>
                <w:sz w:val="18"/>
                <w:szCs w:val="18"/>
                <w:highlight w:val="none"/>
                <w:lang w:eastAsia="zh-CN"/>
              </w:rPr>
            </w:pPr>
            <w:r>
              <w:rPr>
                <w:rFonts w:hint="eastAsia" w:ascii="仿宋" w:hAnsi="仿宋" w:eastAsia="仿宋" w:cs="仿宋"/>
                <w:color w:val="auto"/>
                <w:kern w:val="0"/>
                <w:sz w:val="18"/>
                <w:szCs w:val="18"/>
                <w:highlight w:val="none"/>
              </w:rPr>
              <w:t>减少</w:t>
            </w:r>
            <w:r>
              <w:rPr>
                <w:rFonts w:hint="eastAsia" w:ascii="仿宋" w:hAnsi="仿宋" w:eastAsia="仿宋" w:cs="仿宋"/>
                <w:color w:val="auto"/>
                <w:kern w:val="0"/>
                <w:sz w:val="18"/>
                <w:szCs w:val="18"/>
                <w:highlight w:val="none"/>
                <w:lang w:val="en-US" w:eastAsia="zh-CN"/>
              </w:rPr>
              <w:t>了</w:t>
            </w:r>
            <w:r>
              <w:rPr>
                <w:rFonts w:hint="eastAsia" w:ascii="仿宋" w:hAnsi="仿宋" w:eastAsia="仿宋" w:cs="仿宋"/>
                <w:color w:val="auto"/>
                <w:kern w:val="0"/>
                <w:sz w:val="18"/>
                <w:szCs w:val="18"/>
                <w:highlight w:val="none"/>
              </w:rPr>
              <w:t>0.</w:t>
            </w:r>
            <w:r>
              <w:rPr>
                <w:rFonts w:hint="eastAsia" w:ascii="仿宋" w:hAnsi="仿宋" w:eastAsia="仿宋" w:cs="仿宋"/>
                <w:color w:val="auto"/>
                <w:kern w:val="0"/>
                <w:sz w:val="18"/>
                <w:szCs w:val="18"/>
                <w:highlight w:val="none"/>
                <w:lang w:val="en-US" w:eastAsia="zh-CN"/>
              </w:rPr>
              <w:t>12</w:t>
            </w:r>
            <w:r>
              <w:rPr>
                <w:rFonts w:hint="eastAsia" w:ascii="仿宋" w:hAnsi="仿宋" w:eastAsia="仿宋" w:cs="仿宋"/>
                <w:color w:val="auto"/>
                <w:kern w:val="0"/>
                <w:sz w:val="18"/>
                <w:szCs w:val="18"/>
                <w:highlight w:val="none"/>
              </w:rPr>
              <w:t>h</w:t>
            </w:r>
            <w:r>
              <w:rPr>
                <w:rFonts w:hint="eastAsia" w:ascii="仿宋" w:hAnsi="仿宋" w:eastAsia="仿宋" w:cs="仿宋"/>
                <w:color w:val="auto"/>
                <w:kern w:val="0"/>
                <w:sz w:val="18"/>
                <w:szCs w:val="18"/>
                <w:highlight w:val="none"/>
                <w:lang w:eastAsia="zh-CN"/>
              </w:rPr>
              <w:t>㎡</w:t>
            </w:r>
            <w:r>
              <w:rPr>
                <w:rFonts w:hint="eastAsia" w:ascii="仿宋" w:hAnsi="仿宋" w:eastAsia="仿宋" w:cs="仿宋"/>
                <w:color w:val="auto"/>
                <w:kern w:val="0"/>
                <w:sz w:val="18"/>
                <w:szCs w:val="18"/>
                <w:highlight w:val="none"/>
              </w:rPr>
              <w:t xml:space="preserve"> ，减少比例</w:t>
            </w:r>
            <w:r>
              <w:rPr>
                <w:rFonts w:hint="eastAsia" w:ascii="仿宋" w:hAnsi="仿宋" w:eastAsia="仿宋" w:cs="仿宋"/>
                <w:color w:val="auto"/>
                <w:kern w:val="0"/>
                <w:sz w:val="18"/>
                <w:szCs w:val="18"/>
                <w:highlight w:val="none"/>
                <w:lang w:val="en-US" w:eastAsia="zh-CN"/>
              </w:rPr>
              <w:t>1.4</w:t>
            </w:r>
            <w:r>
              <w:rPr>
                <w:rFonts w:hint="eastAsia" w:ascii="仿宋" w:hAnsi="仿宋" w:eastAsia="仿宋" w:cs="仿宋"/>
                <w:color w:val="auto"/>
                <w:kern w:val="0"/>
                <w:sz w:val="18"/>
                <w:szCs w:val="18"/>
                <w:highlight w:val="none"/>
              </w:rPr>
              <w:t>%</w:t>
            </w:r>
            <w:r>
              <w:rPr>
                <w:rFonts w:hint="eastAsia" w:ascii="仿宋" w:hAnsi="仿宋" w:eastAsia="仿宋" w:cs="仿宋"/>
                <w:color w:val="auto"/>
                <w:kern w:val="0"/>
                <w:sz w:val="18"/>
                <w:szCs w:val="18"/>
                <w:highlight w:val="none"/>
                <w:lang w:eastAsia="zh-CN"/>
              </w:rPr>
              <w:t>。</w:t>
            </w:r>
          </w:p>
        </w:tc>
        <w:tc>
          <w:tcPr>
            <w:tcW w:w="81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否</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jc w:val="center"/>
        </w:trPr>
        <w:tc>
          <w:tcPr>
            <w:tcW w:w="8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p>
        </w:tc>
        <w:tc>
          <w:tcPr>
            <w:tcW w:w="7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3</w:t>
            </w:r>
          </w:p>
        </w:tc>
        <w:tc>
          <w:tcPr>
            <w:tcW w:w="1940" w:type="dxa"/>
            <w:vAlign w:val="center"/>
          </w:tcPr>
          <w:p>
            <w:pPr>
              <w:widowControl/>
              <w:spacing w:line="240" w:lineRule="auto"/>
              <w:ind w:left="0" w:leftChars="0" w:firstLine="0" w:firstLineChars="0"/>
              <w:jc w:val="left"/>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开挖填筑土石方总量增加30%以</w:t>
            </w:r>
            <w:r>
              <w:rPr>
                <w:rFonts w:hint="eastAsia" w:ascii="仿宋" w:hAnsi="仿宋" w:eastAsia="仿宋" w:cs="仿宋"/>
                <w:color w:val="auto"/>
                <w:kern w:val="0"/>
                <w:sz w:val="18"/>
                <w:szCs w:val="18"/>
                <w:highlight w:val="none"/>
                <w:lang w:val="en-US" w:eastAsia="zh-CN"/>
              </w:rPr>
              <w:t>上</w:t>
            </w:r>
            <w:r>
              <w:rPr>
                <w:rFonts w:hint="eastAsia" w:ascii="仿宋" w:hAnsi="仿宋" w:eastAsia="仿宋" w:cs="仿宋"/>
                <w:color w:val="auto"/>
                <w:kern w:val="0"/>
                <w:sz w:val="18"/>
                <w:szCs w:val="18"/>
                <w:highlight w:val="none"/>
              </w:rPr>
              <w:t>的</w:t>
            </w:r>
          </w:p>
        </w:tc>
        <w:tc>
          <w:tcPr>
            <w:tcW w:w="1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土石方挖填总量为</w:t>
            </w:r>
            <w:r>
              <w:rPr>
                <w:rFonts w:hint="eastAsia" w:ascii="仿宋" w:hAnsi="仿宋" w:eastAsia="仿宋" w:cs="仿宋"/>
                <w:color w:val="auto"/>
                <w:kern w:val="0"/>
                <w:sz w:val="18"/>
                <w:szCs w:val="18"/>
                <w:highlight w:val="none"/>
                <w:lang w:val="en-US" w:eastAsia="zh-CN"/>
              </w:rPr>
              <w:t>71.20</w:t>
            </w:r>
            <w:r>
              <w:rPr>
                <w:rFonts w:hint="eastAsia" w:ascii="仿宋" w:hAnsi="仿宋" w:eastAsia="仿宋" w:cs="仿宋"/>
                <w:color w:val="auto"/>
                <w:kern w:val="0"/>
                <w:sz w:val="18"/>
                <w:szCs w:val="18"/>
                <w:highlight w:val="none"/>
              </w:rPr>
              <w:t xml:space="preserve"> 万</w:t>
            </w:r>
            <w:r>
              <w:rPr>
                <w:rFonts w:hint="eastAsia" w:ascii="仿宋" w:hAnsi="仿宋" w:eastAsia="仿宋" w:cs="仿宋"/>
                <w:color w:val="auto"/>
                <w:kern w:val="0"/>
                <w:sz w:val="18"/>
                <w:szCs w:val="18"/>
                <w:highlight w:val="none"/>
                <w:lang w:eastAsia="zh-CN"/>
              </w:rPr>
              <w:t>㎥</w:t>
            </w:r>
            <w:r>
              <w:rPr>
                <w:rFonts w:hint="eastAsia" w:ascii="仿宋" w:hAnsi="仿宋" w:eastAsia="仿宋" w:cs="仿宋"/>
                <w:color w:val="auto"/>
                <w:kern w:val="0"/>
                <w:sz w:val="18"/>
                <w:szCs w:val="18"/>
                <w:highlight w:val="none"/>
              </w:rPr>
              <w:t xml:space="preserve"> ，其中挖方</w:t>
            </w:r>
            <w:r>
              <w:rPr>
                <w:rFonts w:hint="eastAsia" w:ascii="仿宋" w:hAnsi="仿宋" w:eastAsia="仿宋" w:cs="仿宋"/>
                <w:color w:val="auto"/>
                <w:kern w:val="0"/>
                <w:sz w:val="18"/>
                <w:szCs w:val="18"/>
                <w:highlight w:val="none"/>
                <w:lang w:val="en-US" w:eastAsia="zh-CN"/>
              </w:rPr>
              <w:t>44.54</w:t>
            </w:r>
            <w:r>
              <w:rPr>
                <w:rFonts w:hint="eastAsia" w:ascii="仿宋" w:hAnsi="仿宋" w:eastAsia="仿宋" w:cs="仿宋"/>
                <w:color w:val="auto"/>
                <w:kern w:val="0"/>
                <w:sz w:val="18"/>
                <w:szCs w:val="18"/>
                <w:highlight w:val="none"/>
              </w:rPr>
              <w:t xml:space="preserve"> 万 </w:t>
            </w:r>
            <w:r>
              <w:rPr>
                <w:rFonts w:hint="eastAsia" w:ascii="仿宋" w:hAnsi="仿宋" w:eastAsia="仿宋" w:cs="仿宋"/>
                <w:color w:val="auto"/>
                <w:kern w:val="0"/>
                <w:sz w:val="18"/>
                <w:szCs w:val="18"/>
                <w:highlight w:val="none"/>
                <w:lang w:eastAsia="zh-CN"/>
              </w:rPr>
              <w:t>㎥</w:t>
            </w:r>
            <w:r>
              <w:rPr>
                <w:rFonts w:hint="eastAsia" w:ascii="仿宋" w:hAnsi="仿宋" w:eastAsia="仿宋" w:cs="仿宋"/>
                <w:color w:val="auto"/>
                <w:kern w:val="0"/>
                <w:sz w:val="18"/>
                <w:szCs w:val="18"/>
                <w:highlight w:val="none"/>
              </w:rPr>
              <w:t xml:space="preserve"> ，填方为</w:t>
            </w:r>
            <w:r>
              <w:rPr>
                <w:rFonts w:hint="eastAsia" w:ascii="仿宋" w:hAnsi="仿宋" w:eastAsia="仿宋" w:cs="仿宋"/>
                <w:color w:val="auto"/>
                <w:kern w:val="0"/>
                <w:sz w:val="18"/>
                <w:szCs w:val="18"/>
                <w:highlight w:val="none"/>
                <w:lang w:val="en-US" w:eastAsia="zh-CN"/>
              </w:rPr>
              <w:t>26.66</w:t>
            </w:r>
            <w:r>
              <w:rPr>
                <w:rFonts w:hint="eastAsia" w:ascii="仿宋" w:hAnsi="仿宋" w:eastAsia="仿宋" w:cs="仿宋"/>
                <w:color w:val="auto"/>
                <w:kern w:val="0"/>
                <w:sz w:val="18"/>
                <w:szCs w:val="18"/>
                <w:highlight w:val="none"/>
              </w:rPr>
              <w:t>万</w:t>
            </w:r>
            <w:r>
              <w:rPr>
                <w:rFonts w:hint="eastAsia" w:ascii="仿宋" w:hAnsi="仿宋" w:eastAsia="仿宋" w:cs="仿宋"/>
                <w:color w:val="auto"/>
                <w:kern w:val="0"/>
                <w:sz w:val="18"/>
                <w:szCs w:val="18"/>
                <w:highlight w:val="none"/>
                <w:lang w:eastAsia="zh-CN"/>
              </w:rPr>
              <w:t>㎥</w:t>
            </w:r>
            <w:r>
              <w:rPr>
                <w:rFonts w:hint="eastAsia" w:ascii="仿宋" w:hAnsi="仿宋" w:eastAsia="仿宋" w:cs="仿宋"/>
                <w:color w:val="auto"/>
                <w:kern w:val="0"/>
                <w:sz w:val="18"/>
                <w:szCs w:val="18"/>
                <w:highlight w:val="none"/>
              </w:rPr>
              <w:t>。</w:t>
            </w:r>
          </w:p>
        </w:tc>
        <w:tc>
          <w:tcPr>
            <w:tcW w:w="14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土石方挖填总量为</w:t>
            </w:r>
            <w:r>
              <w:rPr>
                <w:rFonts w:hint="eastAsia" w:ascii="仿宋" w:hAnsi="仿宋" w:eastAsia="仿宋" w:cs="仿宋"/>
                <w:color w:val="auto"/>
                <w:kern w:val="0"/>
                <w:sz w:val="18"/>
                <w:szCs w:val="18"/>
                <w:highlight w:val="none"/>
                <w:lang w:val="en-US" w:eastAsia="zh-CN"/>
              </w:rPr>
              <w:t>35.62</w:t>
            </w:r>
            <w:r>
              <w:rPr>
                <w:rFonts w:hint="eastAsia" w:ascii="仿宋" w:hAnsi="仿宋" w:eastAsia="仿宋" w:cs="仿宋"/>
                <w:color w:val="auto"/>
                <w:kern w:val="0"/>
                <w:sz w:val="18"/>
                <w:szCs w:val="18"/>
                <w:highlight w:val="none"/>
              </w:rPr>
              <w:t xml:space="preserve"> 万</w:t>
            </w:r>
            <w:r>
              <w:rPr>
                <w:rFonts w:hint="eastAsia" w:ascii="仿宋" w:hAnsi="仿宋" w:eastAsia="仿宋" w:cs="仿宋"/>
                <w:color w:val="auto"/>
                <w:kern w:val="0"/>
                <w:sz w:val="18"/>
                <w:szCs w:val="18"/>
                <w:highlight w:val="none"/>
                <w:lang w:eastAsia="zh-CN"/>
              </w:rPr>
              <w:t>㎥</w:t>
            </w:r>
            <w:r>
              <w:rPr>
                <w:rFonts w:hint="eastAsia" w:ascii="仿宋" w:hAnsi="仿宋" w:eastAsia="仿宋" w:cs="仿宋"/>
                <w:color w:val="auto"/>
                <w:kern w:val="0"/>
                <w:sz w:val="18"/>
                <w:szCs w:val="18"/>
                <w:highlight w:val="none"/>
              </w:rPr>
              <w:t xml:space="preserve"> ，其中挖方</w:t>
            </w:r>
            <w:r>
              <w:rPr>
                <w:rFonts w:hint="eastAsia" w:ascii="仿宋" w:hAnsi="仿宋" w:eastAsia="仿宋" w:cs="仿宋"/>
                <w:color w:val="auto"/>
                <w:kern w:val="0"/>
                <w:sz w:val="18"/>
                <w:szCs w:val="18"/>
                <w:highlight w:val="none"/>
                <w:lang w:val="en-US" w:eastAsia="zh-CN"/>
              </w:rPr>
              <w:t>21.70</w:t>
            </w:r>
            <w:r>
              <w:rPr>
                <w:rFonts w:hint="eastAsia" w:ascii="仿宋" w:hAnsi="仿宋" w:eastAsia="仿宋" w:cs="仿宋"/>
                <w:color w:val="auto"/>
                <w:kern w:val="0"/>
                <w:sz w:val="18"/>
                <w:szCs w:val="18"/>
                <w:highlight w:val="none"/>
              </w:rPr>
              <w:t xml:space="preserve">万 </w:t>
            </w:r>
            <w:r>
              <w:rPr>
                <w:rFonts w:hint="eastAsia" w:ascii="仿宋" w:hAnsi="仿宋" w:eastAsia="仿宋" w:cs="仿宋"/>
                <w:color w:val="auto"/>
                <w:kern w:val="0"/>
                <w:sz w:val="18"/>
                <w:szCs w:val="18"/>
                <w:highlight w:val="none"/>
                <w:lang w:eastAsia="zh-CN"/>
              </w:rPr>
              <w:t>㎥</w:t>
            </w:r>
            <w:r>
              <w:rPr>
                <w:rFonts w:hint="eastAsia" w:ascii="仿宋" w:hAnsi="仿宋" w:eastAsia="仿宋" w:cs="仿宋"/>
                <w:color w:val="auto"/>
                <w:kern w:val="0"/>
                <w:sz w:val="18"/>
                <w:szCs w:val="18"/>
                <w:highlight w:val="none"/>
              </w:rPr>
              <w:t>填方</w:t>
            </w:r>
            <w:r>
              <w:rPr>
                <w:rFonts w:hint="eastAsia" w:ascii="仿宋" w:hAnsi="仿宋" w:eastAsia="仿宋" w:cs="仿宋"/>
                <w:color w:val="auto"/>
                <w:kern w:val="0"/>
                <w:sz w:val="18"/>
                <w:szCs w:val="18"/>
                <w:highlight w:val="none"/>
                <w:lang w:val="en-US" w:eastAsia="zh-CN"/>
              </w:rPr>
              <w:t>13.92</w:t>
            </w:r>
            <w:r>
              <w:rPr>
                <w:rFonts w:hint="eastAsia" w:ascii="仿宋" w:hAnsi="仿宋" w:eastAsia="仿宋" w:cs="仿宋"/>
                <w:color w:val="auto"/>
                <w:kern w:val="0"/>
                <w:sz w:val="18"/>
                <w:szCs w:val="18"/>
                <w:highlight w:val="none"/>
              </w:rPr>
              <w:t>万</w:t>
            </w:r>
            <w:r>
              <w:rPr>
                <w:rFonts w:hint="eastAsia" w:ascii="仿宋" w:hAnsi="仿宋" w:eastAsia="仿宋" w:cs="仿宋"/>
                <w:color w:val="auto"/>
                <w:kern w:val="0"/>
                <w:sz w:val="18"/>
                <w:szCs w:val="18"/>
                <w:highlight w:val="none"/>
                <w:lang w:eastAsia="zh-CN"/>
              </w:rPr>
              <w:t>㎥</w:t>
            </w:r>
            <w:r>
              <w:rPr>
                <w:rFonts w:hint="eastAsia" w:ascii="仿宋" w:hAnsi="仿宋" w:eastAsia="仿宋" w:cs="仿宋"/>
                <w:color w:val="auto"/>
                <w:kern w:val="0"/>
                <w:sz w:val="18"/>
                <w:szCs w:val="18"/>
                <w:highlight w:val="none"/>
              </w:rPr>
              <w:t>。</w:t>
            </w:r>
          </w:p>
        </w:tc>
        <w:tc>
          <w:tcPr>
            <w:tcW w:w="1104" w:type="dxa"/>
            <w:vAlign w:val="center"/>
          </w:tcPr>
          <w:p>
            <w:pPr>
              <w:widowControl/>
              <w:spacing w:line="240" w:lineRule="auto"/>
              <w:ind w:left="0" w:leftChars="0" w:firstLine="0" w:firstLineChars="0"/>
              <w:jc w:val="left"/>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C区未开工。</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p>
        </w:tc>
        <w:tc>
          <w:tcPr>
            <w:tcW w:w="81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否</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jc w:val="center"/>
        </w:trPr>
        <w:tc>
          <w:tcPr>
            <w:tcW w:w="8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p>
        </w:tc>
        <w:tc>
          <w:tcPr>
            <w:tcW w:w="7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4</w:t>
            </w:r>
          </w:p>
        </w:tc>
        <w:tc>
          <w:tcPr>
            <w:tcW w:w="19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施工道路或者伴行道路等长度增加 20%以上的</w:t>
            </w:r>
          </w:p>
        </w:tc>
        <w:tc>
          <w:tcPr>
            <w:tcW w:w="1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无</w:t>
            </w:r>
          </w:p>
        </w:tc>
        <w:tc>
          <w:tcPr>
            <w:tcW w:w="14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无</w:t>
            </w:r>
          </w:p>
        </w:tc>
        <w:tc>
          <w:tcPr>
            <w:tcW w:w="11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相同</w:t>
            </w:r>
          </w:p>
        </w:tc>
        <w:tc>
          <w:tcPr>
            <w:tcW w:w="81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b w:val="0"/>
                <w:bCs w:val="0"/>
                <w:color w:val="auto"/>
                <w:kern w:val="0"/>
                <w:sz w:val="18"/>
                <w:szCs w:val="18"/>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jc w:val="center"/>
        </w:trPr>
        <w:tc>
          <w:tcPr>
            <w:tcW w:w="837"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default"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水土保持措施</w:t>
            </w:r>
          </w:p>
        </w:tc>
        <w:tc>
          <w:tcPr>
            <w:tcW w:w="7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1</w:t>
            </w:r>
          </w:p>
        </w:tc>
        <w:tc>
          <w:tcPr>
            <w:tcW w:w="19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表土剥离量减少30%以上的</w:t>
            </w:r>
          </w:p>
        </w:tc>
        <w:tc>
          <w:tcPr>
            <w:tcW w:w="1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lang w:val="en-US" w:eastAsia="zh-CN"/>
              </w:rPr>
              <w:t>无</w:t>
            </w:r>
          </w:p>
        </w:tc>
        <w:tc>
          <w:tcPr>
            <w:tcW w:w="14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lang w:val="en-US" w:eastAsia="zh-CN"/>
              </w:rPr>
              <w:t>无</w:t>
            </w:r>
          </w:p>
        </w:tc>
        <w:tc>
          <w:tcPr>
            <w:tcW w:w="11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lang w:val="en-US" w:eastAsia="zh-CN"/>
              </w:rPr>
              <w:t>无</w:t>
            </w:r>
          </w:p>
        </w:tc>
        <w:tc>
          <w:tcPr>
            <w:tcW w:w="81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b w:val="0"/>
                <w:bCs w:val="0"/>
                <w:color w:val="auto"/>
                <w:kern w:val="0"/>
                <w:sz w:val="18"/>
                <w:szCs w:val="18"/>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jc w:val="center"/>
        </w:trPr>
        <w:tc>
          <w:tcPr>
            <w:tcW w:w="8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p>
        </w:tc>
        <w:tc>
          <w:tcPr>
            <w:tcW w:w="7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2</w:t>
            </w:r>
          </w:p>
        </w:tc>
        <w:tc>
          <w:tcPr>
            <w:tcW w:w="1940" w:type="dxa"/>
            <w:vAlign w:val="center"/>
          </w:tcPr>
          <w:p>
            <w:pPr>
              <w:widowControl/>
              <w:spacing w:line="240" w:lineRule="auto"/>
              <w:ind w:left="0" w:leftChars="0" w:firstLine="0" w:firstLineChars="0"/>
              <w:jc w:val="left"/>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植物措施总面积减</w:t>
            </w:r>
            <w:r>
              <w:rPr>
                <w:rFonts w:hint="eastAsia" w:ascii="仿宋" w:hAnsi="仿宋" w:eastAsia="仿宋" w:cs="仿宋"/>
                <w:color w:val="auto"/>
                <w:kern w:val="0"/>
                <w:sz w:val="18"/>
                <w:szCs w:val="18"/>
                <w:highlight w:val="none"/>
                <w:lang w:val="en-US" w:eastAsia="zh-CN"/>
              </w:rPr>
              <w:t>少</w:t>
            </w:r>
            <w:r>
              <w:rPr>
                <w:rFonts w:hint="eastAsia" w:ascii="仿宋" w:hAnsi="仿宋" w:eastAsia="仿宋" w:cs="仿宋"/>
                <w:color w:val="auto"/>
                <w:kern w:val="0"/>
                <w:sz w:val="18"/>
                <w:szCs w:val="18"/>
                <w:highlight w:val="none"/>
              </w:rPr>
              <w:t>30%以上的</w:t>
            </w:r>
          </w:p>
        </w:tc>
        <w:tc>
          <w:tcPr>
            <w:tcW w:w="1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lang w:val="en-US" w:eastAsia="zh-CN"/>
              </w:rPr>
              <w:t>无</w:t>
            </w:r>
          </w:p>
        </w:tc>
        <w:tc>
          <w:tcPr>
            <w:tcW w:w="146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lang w:val="en-US" w:eastAsia="zh-CN"/>
              </w:rPr>
              <w:t>无</w:t>
            </w:r>
          </w:p>
        </w:tc>
        <w:tc>
          <w:tcPr>
            <w:tcW w:w="110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lang w:val="en-US" w:eastAsia="zh-CN"/>
              </w:rPr>
              <w:t>无</w:t>
            </w:r>
          </w:p>
        </w:tc>
        <w:tc>
          <w:tcPr>
            <w:tcW w:w="81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b w:val="0"/>
                <w:bCs w:val="0"/>
                <w:color w:val="auto"/>
                <w:kern w:val="0"/>
                <w:sz w:val="18"/>
                <w:szCs w:val="18"/>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jc w:val="center"/>
        </w:trPr>
        <w:tc>
          <w:tcPr>
            <w:tcW w:w="83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p>
        </w:tc>
        <w:tc>
          <w:tcPr>
            <w:tcW w:w="74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lang w:val="en-US" w:eastAsia="zh-CN"/>
              </w:rPr>
            </w:pPr>
            <w:r>
              <w:rPr>
                <w:rFonts w:hint="eastAsia" w:ascii="仿宋" w:hAnsi="仿宋" w:eastAsia="仿宋" w:cs="仿宋"/>
                <w:b w:val="0"/>
                <w:bCs w:val="0"/>
                <w:color w:val="auto"/>
                <w:kern w:val="0"/>
                <w:sz w:val="18"/>
                <w:szCs w:val="18"/>
                <w:highlight w:val="none"/>
                <w:lang w:val="en-US" w:eastAsia="zh-CN"/>
              </w:rPr>
              <w:t>3</w:t>
            </w:r>
          </w:p>
        </w:tc>
        <w:tc>
          <w:tcPr>
            <w:tcW w:w="19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水土保持重要单位工程措施体系发生变化，可能导致水土保持功能显著降低或丧失的</w:t>
            </w:r>
          </w:p>
        </w:tc>
        <w:tc>
          <w:tcPr>
            <w:tcW w:w="1617" w:type="dxa"/>
            <w:vAlign w:val="center"/>
          </w:tcPr>
          <w:p>
            <w:pPr>
              <w:widowControl/>
              <w:spacing w:line="240" w:lineRule="auto"/>
              <w:ind w:left="0" w:leftChars="0" w:firstLine="0" w:firstLineChars="0"/>
              <w:jc w:val="left"/>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临时防护、土地 整治工程、斜坡防护工程、植被 建设工程。</w:t>
            </w:r>
          </w:p>
        </w:tc>
        <w:tc>
          <w:tcPr>
            <w:tcW w:w="1468" w:type="dxa"/>
            <w:vAlign w:val="center"/>
          </w:tcPr>
          <w:p>
            <w:pPr>
              <w:widowControl/>
              <w:spacing w:line="240" w:lineRule="auto"/>
              <w:ind w:left="0" w:leftChars="0" w:firstLine="0" w:firstLineChars="0"/>
              <w:jc w:val="left"/>
              <w:rPr>
                <w:rFonts w:hint="eastAsia" w:ascii="仿宋" w:hAnsi="仿宋" w:eastAsia="仿宋" w:cs="仿宋"/>
                <w:b w:val="0"/>
                <w:bCs w:val="0"/>
                <w:color w:val="auto"/>
                <w:kern w:val="0"/>
                <w:sz w:val="18"/>
                <w:szCs w:val="18"/>
                <w:highlight w:val="none"/>
              </w:rPr>
            </w:pPr>
            <w:r>
              <w:rPr>
                <w:rFonts w:hint="eastAsia" w:ascii="仿宋" w:hAnsi="仿宋" w:eastAsia="仿宋" w:cs="仿宋"/>
                <w:color w:val="auto"/>
                <w:kern w:val="0"/>
                <w:sz w:val="18"/>
                <w:szCs w:val="18"/>
                <w:highlight w:val="none"/>
              </w:rPr>
              <w:t>临时防护、土 地整治工程、斜坡防护工程、植被建设工程等。</w:t>
            </w:r>
          </w:p>
        </w:tc>
        <w:tc>
          <w:tcPr>
            <w:tcW w:w="1104" w:type="dxa"/>
            <w:vAlign w:val="center"/>
          </w:tcPr>
          <w:p>
            <w:pPr>
              <w:widowControl/>
              <w:spacing w:line="240" w:lineRule="auto"/>
              <w:ind w:left="0" w:leftChars="0" w:firstLine="0" w:firstLineChars="0"/>
              <w:jc w:val="left"/>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相同</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val="0"/>
                <w:color w:val="auto"/>
                <w:kern w:val="0"/>
                <w:sz w:val="18"/>
                <w:szCs w:val="18"/>
                <w:highlight w:val="none"/>
              </w:rPr>
            </w:pPr>
          </w:p>
        </w:tc>
        <w:tc>
          <w:tcPr>
            <w:tcW w:w="81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val="0"/>
                <w:color w:val="auto"/>
                <w:kern w:val="0"/>
                <w:sz w:val="18"/>
                <w:szCs w:val="18"/>
                <w:highlight w:val="none"/>
              </w:rPr>
            </w:pPr>
            <w:r>
              <w:rPr>
                <w:rFonts w:hint="eastAsia" w:ascii="仿宋" w:hAnsi="仿宋" w:eastAsia="仿宋" w:cs="仿宋"/>
                <w:b w:val="0"/>
                <w:bCs w:val="0"/>
                <w:color w:val="auto"/>
                <w:kern w:val="0"/>
                <w:sz w:val="18"/>
                <w:szCs w:val="18"/>
                <w:highlight w:val="none"/>
                <w:lang w:val="en-US" w:eastAsia="zh-CN"/>
              </w:rPr>
              <w:t>否</w:t>
            </w:r>
          </w:p>
        </w:tc>
      </w:tr>
    </w:tbl>
    <w:p>
      <w:pPr>
        <w:widowControl/>
        <w:ind w:left="0" w:leftChars="0" w:firstLine="0" w:firstLineChars="0"/>
        <w:jc w:val="left"/>
        <w:rPr>
          <w:rFonts w:hint="eastAsia"/>
          <w:color w:val="auto"/>
          <w:highlight w:val="none"/>
        </w:rPr>
      </w:pPr>
      <w:r>
        <w:rPr>
          <w:rFonts w:ascii="Times New Roman" w:hAnsi="Times New Roman"/>
          <w:color w:val="auto"/>
          <w:kern w:val="0"/>
          <w:sz w:val="28"/>
          <w:szCs w:val="28"/>
          <w:highlight w:val="none"/>
        </w:rPr>
        <w:t xml:space="preserve">1.2.3 </w:t>
      </w:r>
      <w:r>
        <w:rPr>
          <w:rFonts w:hint="eastAsia" w:ascii="黑体" w:hAnsi="黑体" w:eastAsia="黑体"/>
          <w:color w:val="auto"/>
          <w:kern w:val="0"/>
          <w:sz w:val="28"/>
          <w:szCs w:val="28"/>
          <w:highlight w:val="none"/>
        </w:rPr>
        <w:t>水土保持管理</w:t>
      </w:r>
      <w:r>
        <w:rPr>
          <w:rFonts w:hint="eastAsia" w:ascii="黑体" w:hAnsi="宋体" w:eastAsia="黑体"/>
          <w:color w:val="auto"/>
          <w:kern w:val="0"/>
          <w:sz w:val="28"/>
          <w:szCs w:val="28"/>
          <w:highlight w:val="none"/>
        </w:rPr>
        <w:t xml:space="preserve"> </w:t>
      </w:r>
    </w:p>
    <w:p>
      <w:pPr>
        <w:widowControl/>
        <w:jc w:val="left"/>
        <w:rPr>
          <w:color w:val="auto"/>
          <w:highlight w:val="none"/>
        </w:rPr>
      </w:pPr>
      <w:r>
        <w:rPr>
          <w:rFonts w:hint="eastAsia"/>
          <w:color w:val="auto"/>
          <w:kern w:val="0"/>
          <w:highlight w:val="none"/>
        </w:rPr>
        <w:t>本工程的相关参建单位如下：建设单位为</w:t>
      </w:r>
      <w:r>
        <w:rPr>
          <w:rFonts w:hint="eastAsia"/>
          <w:color w:val="auto"/>
          <w:kern w:val="0"/>
          <w:highlight w:val="none"/>
          <w:lang w:val="en-US" w:eastAsia="zh-CN"/>
        </w:rPr>
        <w:t>衡阳市城市建设投资有限公司，</w:t>
      </w:r>
      <w:r>
        <w:rPr>
          <w:rFonts w:hint="eastAsia"/>
          <w:color w:val="auto"/>
          <w:kern w:val="0"/>
          <w:highlight w:val="none"/>
        </w:rPr>
        <w:t>设计单位为</w:t>
      </w:r>
      <w:r>
        <w:rPr>
          <w:rFonts w:hint="eastAsia"/>
          <w:color w:val="auto"/>
          <w:kern w:val="0"/>
          <w:highlight w:val="none"/>
          <w:lang w:val="en-US" w:eastAsia="zh-CN"/>
        </w:rPr>
        <w:t>衡阳兴欣水土保持咨询有限公司</w:t>
      </w:r>
      <w:r>
        <w:rPr>
          <w:rFonts w:hint="eastAsia"/>
          <w:color w:val="auto"/>
          <w:kern w:val="0"/>
          <w:highlight w:val="none"/>
        </w:rPr>
        <w:t>，水土保持施工单位为</w:t>
      </w:r>
      <w:r>
        <w:rPr>
          <w:rFonts w:hint="eastAsia"/>
          <w:color w:val="auto"/>
          <w:kern w:val="0"/>
          <w:highlight w:val="none"/>
          <w:lang w:val="en-US" w:eastAsia="zh-CN"/>
        </w:rPr>
        <w:t>湖南北山建设集团股份有限公司</w:t>
      </w:r>
      <w:r>
        <w:rPr>
          <w:rFonts w:hint="eastAsia"/>
          <w:color w:val="auto"/>
          <w:kern w:val="0"/>
          <w:highlight w:val="none"/>
        </w:rPr>
        <w:t>，主体监理单位和水保监理单位为</w:t>
      </w:r>
      <w:r>
        <w:rPr>
          <w:rFonts w:hint="eastAsia"/>
          <w:color w:val="auto"/>
          <w:kern w:val="0"/>
          <w:highlight w:val="none"/>
          <w:lang w:val="en-US" w:eastAsia="zh-CN"/>
        </w:rPr>
        <w:t>河北远大项目管理咨询有限公司，</w:t>
      </w:r>
      <w:r>
        <w:rPr>
          <w:rFonts w:hint="eastAsia"/>
          <w:color w:val="auto"/>
          <w:kern w:val="0"/>
          <w:highlight w:val="none"/>
        </w:rPr>
        <w:t>水保监测单位</w:t>
      </w:r>
      <w:r>
        <w:rPr>
          <w:rFonts w:hint="eastAsia"/>
          <w:color w:val="auto"/>
          <w:kern w:val="0"/>
          <w:highlight w:val="none"/>
          <w:lang w:val="en-US" w:eastAsia="zh-CN"/>
        </w:rPr>
        <w:t>为湖南华意项目管理有限公司。</w:t>
      </w:r>
      <w:r>
        <w:rPr>
          <w:rFonts w:hint="eastAsia"/>
          <w:color w:val="auto"/>
          <w:kern w:val="0"/>
          <w:highlight w:val="none"/>
        </w:rPr>
        <w:t xml:space="preserve"> </w:t>
      </w:r>
    </w:p>
    <w:p>
      <w:pPr>
        <w:widowControl/>
        <w:jc w:val="left"/>
        <w:rPr>
          <w:color w:val="auto"/>
          <w:highlight w:val="none"/>
        </w:rPr>
      </w:pPr>
      <w:r>
        <w:rPr>
          <w:rFonts w:hint="eastAsia"/>
          <w:color w:val="auto"/>
          <w:kern w:val="0"/>
          <w:highlight w:val="none"/>
        </w:rPr>
        <w:t xml:space="preserve">一、组织机构 </w:t>
      </w:r>
    </w:p>
    <w:p>
      <w:pPr>
        <w:widowControl/>
        <w:jc w:val="left"/>
        <w:rPr>
          <w:color w:val="auto"/>
          <w:highlight w:val="none"/>
        </w:rPr>
      </w:pPr>
      <w:r>
        <w:rPr>
          <w:rFonts w:hint="eastAsia"/>
          <w:color w:val="auto"/>
          <w:kern w:val="0"/>
          <w:highlight w:val="none"/>
          <w:lang w:val="en-US" w:eastAsia="zh-CN"/>
        </w:rPr>
        <w:t>衡阳市城市建设投资</w:t>
      </w:r>
      <w:r>
        <w:rPr>
          <w:rFonts w:hint="eastAsia"/>
          <w:color w:val="auto"/>
          <w:kern w:val="0"/>
          <w:highlight w:val="none"/>
        </w:rPr>
        <w:t xml:space="preserve">有限公司按照水土保持管理要求，成立了水土保持工作领导小组组长由业主项目部总经理担任，副组长由副总经理担任，成员由主体监理单位监理人员，以及各施工单位水保专责人员组成。 </w:t>
      </w:r>
    </w:p>
    <w:p>
      <w:pPr>
        <w:widowControl/>
        <w:jc w:val="left"/>
        <w:rPr>
          <w:rFonts w:hint="eastAsia"/>
          <w:color w:val="auto"/>
          <w:highlight w:val="none"/>
        </w:rPr>
      </w:pPr>
      <w:r>
        <w:rPr>
          <w:rFonts w:hint="eastAsia"/>
          <w:color w:val="auto"/>
          <w:kern w:val="0"/>
          <w:highlight w:val="none"/>
        </w:rPr>
        <w:t>水土保持工作领导小组负责本工程水土保持工作实施计划的编制及组织实施；水土保持管理制度的制定；提供相关水土保持设备，协助布设水保设施，开展日常水土保持 工作，收集有关水土保持数据；统计、分析、审核、汇编水土保持工作成果；定期进行 总结报告编写；编写、审核、发送责任范围内的水土保持工作检查。</w:t>
      </w:r>
    </w:p>
    <w:p>
      <w:pPr>
        <w:widowControl/>
        <w:jc w:val="left"/>
        <w:rPr>
          <w:rFonts w:hint="eastAsia"/>
          <w:color w:val="auto"/>
          <w:highlight w:val="none"/>
        </w:rPr>
      </w:pPr>
      <w:r>
        <w:rPr>
          <w:rFonts w:hint="eastAsia"/>
          <w:color w:val="auto"/>
          <w:kern w:val="0"/>
          <w:highlight w:val="none"/>
        </w:rPr>
        <w:t xml:space="preserve">二、工作制度 </w:t>
      </w:r>
    </w:p>
    <w:p>
      <w:pPr>
        <w:widowControl/>
        <w:jc w:val="left"/>
        <w:rPr>
          <w:color w:val="auto"/>
          <w:highlight w:val="none"/>
        </w:rPr>
      </w:pPr>
      <w:r>
        <w:rPr>
          <w:rFonts w:hint="eastAsia"/>
          <w:color w:val="auto"/>
          <w:kern w:val="0"/>
          <w:highlight w:val="none"/>
          <w:lang w:val="en-US" w:eastAsia="zh-CN"/>
        </w:rPr>
        <w:t>衡阳市城市建设投资</w:t>
      </w:r>
      <w:r>
        <w:rPr>
          <w:rFonts w:hint="eastAsia"/>
          <w:color w:val="auto"/>
          <w:kern w:val="0"/>
          <w:highlight w:val="none"/>
        </w:rPr>
        <w:t>有限公司将水土保持工作当做贯彻落实国家生态绿色工程建设的重要举措，水土保持工作与工程主体工作同等重要。在工程建设过程中，水土保持工 作与主体工程应贯彻</w:t>
      </w:r>
      <w:r>
        <w:rPr>
          <w:rFonts w:ascii="Times New Roman" w:hAnsi="Times New Roman"/>
          <w:color w:val="auto"/>
          <w:kern w:val="0"/>
          <w:highlight w:val="none"/>
        </w:rPr>
        <w:t>“</w:t>
      </w:r>
      <w:r>
        <w:rPr>
          <w:rFonts w:hint="eastAsia"/>
          <w:color w:val="auto"/>
          <w:kern w:val="0"/>
          <w:highlight w:val="none"/>
        </w:rPr>
        <w:t>同时设计、同时施工、同时投产</w:t>
      </w:r>
      <w:r>
        <w:rPr>
          <w:rFonts w:ascii="Times New Roman" w:hAnsi="Times New Roman"/>
          <w:color w:val="auto"/>
          <w:kern w:val="0"/>
          <w:highlight w:val="none"/>
        </w:rPr>
        <w:t>”</w:t>
      </w:r>
      <w:r>
        <w:rPr>
          <w:rFonts w:hint="eastAsia"/>
          <w:color w:val="auto"/>
          <w:kern w:val="0"/>
          <w:highlight w:val="none"/>
        </w:rPr>
        <w:t>的</w:t>
      </w:r>
      <w:r>
        <w:rPr>
          <w:rFonts w:ascii="Times New Roman" w:hAnsi="Times New Roman"/>
          <w:color w:val="auto"/>
          <w:kern w:val="0"/>
          <w:highlight w:val="none"/>
        </w:rPr>
        <w:t>“</w:t>
      </w:r>
      <w:r>
        <w:rPr>
          <w:rFonts w:hint="eastAsia"/>
          <w:color w:val="auto"/>
          <w:kern w:val="0"/>
          <w:highlight w:val="none"/>
        </w:rPr>
        <w:t>三同时</w:t>
      </w:r>
      <w:r>
        <w:rPr>
          <w:rFonts w:ascii="Times New Roman" w:hAnsi="Times New Roman"/>
          <w:color w:val="auto"/>
          <w:kern w:val="0"/>
          <w:highlight w:val="none"/>
        </w:rPr>
        <w:t>”</w:t>
      </w:r>
      <w:r>
        <w:rPr>
          <w:rFonts w:hint="eastAsia"/>
          <w:color w:val="auto"/>
          <w:kern w:val="0"/>
          <w:highlight w:val="none"/>
        </w:rPr>
        <w:t xml:space="preserve">方针。在施工过程中 保护生态环境，减少水土流失。 </w:t>
      </w:r>
    </w:p>
    <w:p>
      <w:pPr>
        <w:widowControl/>
        <w:jc w:val="left"/>
        <w:rPr>
          <w:color w:val="auto"/>
          <w:highlight w:val="none"/>
        </w:rPr>
      </w:pPr>
      <w:r>
        <w:rPr>
          <w:rFonts w:hint="eastAsia"/>
          <w:color w:val="auto"/>
          <w:kern w:val="0"/>
          <w:highlight w:val="none"/>
        </w:rPr>
        <w:t xml:space="preserve">三、执行情况 </w:t>
      </w:r>
    </w:p>
    <w:p>
      <w:pPr>
        <w:widowControl/>
        <w:jc w:val="left"/>
        <w:rPr>
          <w:color w:val="auto"/>
          <w:highlight w:val="none"/>
        </w:rPr>
      </w:pPr>
      <w:r>
        <w:rPr>
          <w:rFonts w:hint="eastAsia"/>
          <w:color w:val="auto"/>
          <w:kern w:val="0"/>
          <w:highlight w:val="none"/>
          <w:lang w:val="en-US" w:eastAsia="zh-CN"/>
        </w:rPr>
        <w:t>衡阳市城市建设投资</w:t>
      </w:r>
      <w:r>
        <w:rPr>
          <w:rFonts w:hint="eastAsia"/>
          <w:color w:val="auto"/>
          <w:kern w:val="0"/>
          <w:highlight w:val="none"/>
        </w:rPr>
        <w:t xml:space="preserve">有限公司高度重视铅项目的水土保持工作，按照《中华人民共和 国水土保持法》、《〈中华人民共和国水土保持法〉实施条例》等制度的要求，成立了水 土保持领导小组，组织参建单位召开了水土保持监测启动会，定期召开水土保持专项现 场会议，检查工程现场的水土保持防治效果，针对水土保持监测意见，狠抓落实，有效 地控制了水土流失恶化。 </w:t>
      </w:r>
    </w:p>
    <w:p>
      <w:pPr>
        <w:widowControl/>
        <w:jc w:val="left"/>
        <w:rPr>
          <w:color w:val="auto"/>
          <w:highlight w:val="none"/>
        </w:rPr>
      </w:pPr>
      <w:r>
        <w:rPr>
          <w:rFonts w:hint="eastAsia"/>
          <w:color w:val="auto"/>
          <w:kern w:val="0"/>
          <w:highlight w:val="none"/>
        </w:rPr>
        <w:t>施工单位</w:t>
      </w:r>
      <w:r>
        <w:rPr>
          <w:rFonts w:hint="eastAsia"/>
          <w:color w:val="auto"/>
          <w:kern w:val="0"/>
          <w:highlight w:val="none"/>
          <w:lang w:val="en-US" w:eastAsia="zh-CN"/>
        </w:rPr>
        <w:t>湖南北山建设</w:t>
      </w:r>
      <w:r>
        <w:rPr>
          <w:rFonts w:hint="eastAsia"/>
          <w:color w:val="auto"/>
          <w:kern w:val="0"/>
          <w:highlight w:val="none"/>
        </w:rPr>
        <w:t>集团</w:t>
      </w:r>
      <w:r>
        <w:rPr>
          <w:rFonts w:hint="eastAsia"/>
          <w:color w:val="auto"/>
          <w:kern w:val="0"/>
          <w:highlight w:val="none"/>
          <w:lang w:val="en-US" w:eastAsia="zh-CN"/>
        </w:rPr>
        <w:t>股份</w:t>
      </w:r>
      <w:r>
        <w:rPr>
          <w:rFonts w:hint="eastAsia"/>
          <w:color w:val="auto"/>
          <w:kern w:val="0"/>
          <w:highlight w:val="none"/>
        </w:rPr>
        <w:t>有限公司按照</w:t>
      </w:r>
      <w:r>
        <w:rPr>
          <w:rFonts w:hint="eastAsia"/>
          <w:color w:val="auto"/>
          <w:kern w:val="0"/>
          <w:highlight w:val="none"/>
          <w:lang w:val="en-US" w:eastAsia="zh-CN"/>
        </w:rPr>
        <w:t>衡阳市城市建设投资</w:t>
      </w:r>
      <w:r>
        <w:rPr>
          <w:rFonts w:hint="eastAsia"/>
          <w:color w:val="auto"/>
          <w:kern w:val="0"/>
          <w:highlight w:val="none"/>
        </w:rPr>
        <w:t xml:space="preserve">有限公司和监测单位提出的意见，及时清理站外堆土，集中堆放，对裸露地表采取防尘网苫盖，洒水降尘，很好地履行了水土保持责任。 </w:t>
      </w:r>
    </w:p>
    <w:p>
      <w:pPr>
        <w:widowControl/>
        <w:jc w:val="left"/>
        <w:rPr>
          <w:color w:val="auto"/>
          <w:highlight w:val="none"/>
        </w:rPr>
      </w:pPr>
      <w:r>
        <w:rPr>
          <w:rFonts w:hint="eastAsia"/>
          <w:color w:val="auto"/>
          <w:kern w:val="0"/>
          <w:highlight w:val="none"/>
        </w:rPr>
        <w:t>截至目前，</w:t>
      </w:r>
      <w:r>
        <w:rPr>
          <w:rFonts w:hint="eastAsia"/>
          <w:color w:val="auto"/>
          <w:kern w:val="0"/>
          <w:highlight w:val="none"/>
          <w:lang w:val="en-US" w:eastAsia="zh-CN"/>
        </w:rPr>
        <w:t>廻雁峰公园地下停车场</w:t>
      </w:r>
      <w:r>
        <w:rPr>
          <w:rFonts w:hint="eastAsia"/>
          <w:color w:val="auto"/>
          <w:kern w:val="0"/>
          <w:highlight w:val="none"/>
        </w:rPr>
        <w:t>项目的</w:t>
      </w:r>
      <w:r>
        <w:rPr>
          <w:rFonts w:hint="eastAsia"/>
          <w:color w:val="auto"/>
          <w:kern w:val="0"/>
          <w:highlight w:val="none"/>
          <w:lang w:val="en-US" w:eastAsia="zh-CN"/>
        </w:rPr>
        <w:t>A、B区</w:t>
      </w:r>
      <w:r>
        <w:rPr>
          <w:rFonts w:hint="eastAsia"/>
          <w:color w:val="auto"/>
          <w:kern w:val="0"/>
          <w:highlight w:val="none"/>
        </w:rPr>
        <w:t xml:space="preserve">所有施工均已完成；工程措施均已完工，项目区已完成硬化和绿化。 </w:t>
      </w:r>
    </w:p>
    <w:p>
      <w:pPr>
        <w:widowControl/>
        <w:jc w:val="left"/>
        <w:rPr>
          <w:color w:val="auto"/>
          <w:highlight w:val="none"/>
        </w:rPr>
      </w:pPr>
      <w:r>
        <w:rPr>
          <w:rFonts w:hint="eastAsia"/>
          <w:color w:val="auto"/>
          <w:kern w:val="0"/>
          <w:highlight w:val="none"/>
          <w:lang w:val="en-US" w:eastAsia="zh-CN"/>
        </w:rPr>
        <w:t>廻雁峰公园地下停车场</w:t>
      </w:r>
      <w:r>
        <w:rPr>
          <w:rFonts w:hint="eastAsia"/>
          <w:color w:val="auto"/>
          <w:kern w:val="0"/>
          <w:highlight w:val="none"/>
        </w:rPr>
        <w:t>项目建设期间，建设单位、施 工单位能够认真贯彻水土保持</w:t>
      </w:r>
      <w:r>
        <w:rPr>
          <w:rFonts w:ascii="Times New Roman" w:hAnsi="Times New Roman"/>
          <w:color w:val="auto"/>
          <w:kern w:val="0"/>
          <w:highlight w:val="none"/>
        </w:rPr>
        <w:t>“</w:t>
      </w:r>
      <w:r>
        <w:rPr>
          <w:rFonts w:hint="eastAsia"/>
          <w:color w:val="auto"/>
          <w:kern w:val="0"/>
          <w:highlight w:val="none"/>
        </w:rPr>
        <w:t>三同时</w:t>
      </w:r>
      <w:r>
        <w:rPr>
          <w:rFonts w:ascii="Times New Roman" w:hAnsi="Times New Roman"/>
          <w:color w:val="auto"/>
          <w:kern w:val="0"/>
          <w:highlight w:val="none"/>
        </w:rPr>
        <w:t>”</w:t>
      </w:r>
      <w:r>
        <w:rPr>
          <w:rFonts w:hint="eastAsia"/>
          <w:color w:val="auto"/>
          <w:kern w:val="0"/>
          <w:highlight w:val="none"/>
        </w:rPr>
        <w:t>要求，水土保持制度健全，水土保持措施及时到 位，达到了水土保持过程管控要求。</w:t>
      </w:r>
    </w:p>
    <w:p>
      <w:pPr>
        <w:widowControl/>
        <w:jc w:val="left"/>
        <w:rPr>
          <w:color w:val="auto"/>
          <w:highlight w:val="none"/>
        </w:rPr>
      </w:pPr>
      <w:r>
        <w:rPr>
          <w:rFonts w:ascii="Times New Roman" w:hAnsi="Times New Roman"/>
          <w:color w:val="auto"/>
          <w:kern w:val="0"/>
          <w:sz w:val="30"/>
          <w:szCs w:val="30"/>
          <w:highlight w:val="none"/>
        </w:rPr>
        <w:t xml:space="preserve">1.3 </w:t>
      </w:r>
      <w:r>
        <w:rPr>
          <w:rFonts w:hint="eastAsia" w:ascii="黑体" w:hAnsi="黑体" w:eastAsia="黑体"/>
          <w:color w:val="auto"/>
          <w:kern w:val="0"/>
          <w:sz w:val="30"/>
          <w:szCs w:val="30"/>
          <w:highlight w:val="none"/>
        </w:rPr>
        <w:t>监测工作实施情况</w:t>
      </w:r>
      <w:r>
        <w:rPr>
          <w:rFonts w:hint="eastAsia" w:ascii="黑体" w:hAnsi="宋体" w:eastAsia="黑体"/>
          <w:color w:val="auto"/>
          <w:kern w:val="0"/>
          <w:sz w:val="30"/>
          <w:szCs w:val="30"/>
          <w:highlight w:val="none"/>
        </w:rPr>
        <w:t xml:space="preserve"> </w:t>
      </w:r>
    </w:p>
    <w:p>
      <w:pPr>
        <w:widowControl/>
        <w:jc w:val="left"/>
        <w:rPr>
          <w:color w:val="auto"/>
          <w:highlight w:val="none"/>
        </w:rPr>
      </w:pPr>
      <w:r>
        <w:rPr>
          <w:rFonts w:ascii="Times New Roman" w:hAnsi="Times New Roman"/>
          <w:color w:val="auto"/>
          <w:kern w:val="0"/>
          <w:sz w:val="28"/>
          <w:szCs w:val="28"/>
          <w:highlight w:val="none"/>
        </w:rPr>
        <w:t xml:space="preserve">1.3.1 </w:t>
      </w:r>
      <w:r>
        <w:rPr>
          <w:rFonts w:hint="eastAsia" w:ascii="黑体" w:hAnsi="黑体" w:eastAsia="黑体"/>
          <w:color w:val="auto"/>
          <w:kern w:val="0"/>
          <w:sz w:val="28"/>
          <w:szCs w:val="28"/>
          <w:highlight w:val="none"/>
        </w:rPr>
        <w:t>监测实施方案执行情况</w:t>
      </w:r>
      <w:r>
        <w:rPr>
          <w:rFonts w:hint="eastAsia" w:ascii="黑体" w:hAnsi="宋体" w:eastAsia="黑体"/>
          <w:color w:val="auto"/>
          <w:kern w:val="0"/>
          <w:sz w:val="28"/>
          <w:szCs w:val="28"/>
          <w:highlight w:val="none"/>
        </w:rPr>
        <w:t xml:space="preserve"> </w:t>
      </w:r>
    </w:p>
    <w:p>
      <w:pPr>
        <w:widowControl/>
        <w:jc w:val="left"/>
        <w:rPr>
          <w:color w:val="auto"/>
          <w:highlight w:val="none"/>
        </w:rPr>
      </w:pPr>
      <w:r>
        <w:rPr>
          <w:rFonts w:ascii="Times New Roman" w:hAnsi="Times New Roman"/>
          <w:color w:val="auto"/>
          <w:kern w:val="0"/>
          <w:highlight w:val="none"/>
        </w:rPr>
        <w:t>20</w:t>
      </w:r>
      <w:r>
        <w:rPr>
          <w:rFonts w:hint="eastAsia"/>
          <w:color w:val="auto"/>
          <w:kern w:val="0"/>
          <w:highlight w:val="none"/>
          <w:lang w:val="en-US" w:eastAsia="zh-CN"/>
        </w:rPr>
        <w:t>21</w:t>
      </w:r>
      <w:r>
        <w:rPr>
          <w:rFonts w:hint="eastAsia"/>
          <w:color w:val="auto"/>
          <w:kern w:val="0"/>
          <w:highlight w:val="none"/>
        </w:rPr>
        <w:t>年</w:t>
      </w:r>
      <w:r>
        <w:rPr>
          <w:rFonts w:hint="eastAsia"/>
          <w:color w:val="auto"/>
          <w:kern w:val="0"/>
          <w:highlight w:val="none"/>
          <w:lang w:val="en-US" w:eastAsia="zh-CN"/>
        </w:rPr>
        <w:t>12</w:t>
      </w:r>
      <w:r>
        <w:rPr>
          <w:rFonts w:hint="eastAsia"/>
          <w:color w:val="auto"/>
          <w:kern w:val="0"/>
          <w:highlight w:val="none"/>
        </w:rPr>
        <w:t>月，建设单位委托我单位开展本工程水土保持监测工作后，我单位及时组建了水土保持监测小组，于</w:t>
      </w:r>
      <w:r>
        <w:rPr>
          <w:rFonts w:ascii="Times New Roman" w:hAnsi="Times New Roman"/>
          <w:color w:val="auto"/>
          <w:kern w:val="0"/>
          <w:highlight w:val="none"/>
        </w:rPr>
        <w:t>20</w:t>
      </w:r>
      <w:r>
        <w:rPr>
          <w:rFonts w:hint="eastAsia"/>
          <w:color w:val="auto"/>
          <w:kern w:val="0"/>
          <w:highlight w:val="none"/>
          <w:lang w:val="en-US" w:eastAsia="zh-CN"/>
        </w:rPr>
        <w:t>21年12</w:t>
      </w:r>
      <w:r>
        <w:rPr>
          <w:rFonts w:hint="eastAsia"/>
          <w:color w:val="auto"/>
          <w:kern w:val="0"/>
          <w:highlight w:val="none"/>
        </w:rPr>
        <w:t xml:space="preserve">月按季度开展植被恢复期的水土保持工作，在监测过程中未发生水土流失危害事件；采取调查监测和资料收集相结合的方法，并编写监测季报。 </w:t>
      </w:r>
    </w:p>
    <w:p>
      <w:pPr>
        <w:widowControl/>
        <w:jc w:val="left"/>
        <w:rPr>
          <w:color w:val="auto"/>
          <w:highlight w:val="none"/>
        </w:rPr>
      </w:pPr>
      <w:r>
        <w:rPr>
          <w:rFonts w:ascii="Times New Roman" w:hAnsi="Times New Roman"/>
          <w:color w:val="auto"/>
          <w:kern w:val="0"/>
          <w:sz w:val="28"/>
          <w:szCs w:val="28"/>
          <w:highlight w:val="none"/>
        </w:rPr>
        <w:t xml:space="preserve">1.3.2 </w:t>
      </w:r>
      <w:r>
        <w:rPr>
          <w:rFonts w:hint="eastAsia" w:ascii="黑体" w:hAnsi="黑体" w:eastAsia="黑体"/>
          <w:color w:val="auto"/>
          <w:kern w:val="0"/>
          <w:sz w:val="28"/>
          <w:szCs w:val="28"/>
          <w:highlight w:val="none"/>
        </w:rPr>
        <w:t>监测项目部设置</w:t>
      </w:r>
      <w:r>
        <w:rPr>
          <w:rFonts w:hint="eastAsia" w:ascii="黑体" w:hAnsi="宋体" w:eastAsia="黑体"/>
          <w:color w:val="auto"/>
          <w:kern w:val="0"/>
          <w:sz w:val="28"/>
          <w:szCs w:val="28"/>
          <w:highlight w:val="none"/>
        </w:rPr>
        <w:t xml:space="preserve"> </w:t>
      </w:r>
    </w:p>
    <w:p>
      <w:pPr>
        <w:widowControl/>
        <w:jc w:val="left"/>
        <w:rPr>
          <w:color w:val="auto"/>
          <w:highlight w:val="none"/>
        </w:rPr>
      </w:pPr>
      <w:r>
        <w:rPr>
          <w:rFonts w:ascii="Times New Roman" w:hAnsi="Times New Roman"/>
          <w:color w:val="auto"/>
          <w:kern w:val="0"/>
          <w:highlight w:val="none"/>
        </w:rPr>
        <w:t>1</w:t>
      </w:r>
      <w:r>
        <w:rPr>
          <w:rFonts w:hint="eastAsia"/>
          <w:color w:val="auto"/>
          <w:kern w:val="0"/>
          <w:highlight w:val="none"/>
        </w:rPr>
        <w:t xml:space="preserve">、监测项目部组成 </w:t>
      </w:r>
    </w:p>
    <w:p>
      <w:pPr>
        <w:widowControl/>
        <w:jc w:val="left"/>
        <w:rPr>
          <w:color w:val="auto"/>
          <w:highlight w:val="none"/>
        </w:rPr>
      </w:pPr>
      <w:r>
        <w:rPr>
          <w:rFonts w:hint="eastAsia"/>
          <w:color w:val="auto"/>
          <w:kern w:val="0"/>
          <w:highlight w:val="none"/>
        </w:rPr>
        <w:t xml:space="preserve">为确保工程水土保持监测工作的成果质量，我单位成立了水土保持监测工作小组， 监测小组由 </w:t>
      </w:r>
      <w:r>
        <w:rPr>
          <w:rFonts w:ascii="Times New Roman" w:hAnsi="Times New Roman"/>
          <w:color w:val="auto"/>
          <w:kern w:val="0"/>
          <w:highlight w:val="none"/>
        </w:rPr>
        <w:t xml:space="preserve">6 </w:t>
      </w:r>
      <w:r>
        <w:rPr>
          <w:rFonts w:hint="eastAsia"/>
          <w:color w:val="auto"/>
          <w:kern w:val="0"/>
          <w:highlight w:val="none"/>
        </w:rPr>
        <w:t>人组成，其中教授级高工</w:t>
      </w:r>
      <w:r>
        <w:rPr>
          <w:rFonts w:ascii="Times New Roman" w:hAnsi="Times New Roman"/>
          <w:color w:val="auto"/>
          <w:kern w:val="0"/>
          <w:highlight w:val="none"/>
        </w:rPr>
        <w:t>1</w:t>
      </w:r>
      <w:r>
        <w:rPr>
          <w:rFonts w:hint="eastAsia"/>
          <w:color w:val="auto"/>
          <w:kern w:val="0"/>
          <w:highlight w:val="none"/>
        </w:rPr>
        <w:t>名</w:t>
      </w:r>
      <w:r>
        <w:rPr>
          <w:rFonts w:hint="eastAsia"/>
          <w:color w:val="auto"/>
          <w:kern w:val="0"/>
          <w:highlight w:val="none"/>
          <w:lang w:eastAsia="zh-CN"/>
        </w:rPr>
        <w:t>，</w:t>
      </w:r>
      <w:r>
        <w:rPr>
          <w:rFonts w:hint="eastAsia"/>
          <w:color w:val="auto"/>
          <w:kern w:val="0"/>
          <w:highlight w:val="none"/>
        </w:rPr>
        <w:t>高级工程师</w:t>
      </w:r>
      <w:r>
        <w:rPr>
          <w:rFonts w:ascii="Times New Roman" w:hAnsi="Times New Roman"/>
          <w:color w:val="auto"/>
          <w:kern w:val="0"/>
          <w:highlight w:val="none"/>
        </w:rPr>
        <w:t>3</w:t>
      </w:r>
      <w:r>
        <w:rPr>
          <w:rFonts w:hint="eastAsia"/>
          <w:color w:val="auto"/>
          <w:kern w:val="0"/>
          <w:highlight w:val="none"/>
        </w:rPr>
        <w:t>名</w:t>
      </w:r>
      <w:r>
        <w:rPr>
          <w:rFonts w:hint="eastAsia"/>
          <w:color w:val="auto"/>
          <w:kern w:val="0"/>
          <w:highlight w:val="none"/>
          <w:lang w:eastAsia="zh-CN"/>
        </w:rPr>
        <w:t>，</w:t>
      </w:r>
      <w:r>
        <w:rPr>
          <w:rFonts w:hint="eastAsia"/>
          <w:color w:val="auto"/>
          <w:kern w:val="0"/>
          <w:highlight w:val="none"/>
        </w:rPr>
        <w:t>监测工程师</w:t>
      </w:r>
      <w:r>
        <w:rPr>
          <w:rFonts w:ascii="Times New Roman" w:hAnsi="Times New Roman"/>
          <w:color w:val="auto"/>
          <w:kern w:val="0"/>
          <w:highlight w:val="none"/>
        </w:rPr>
        <w:t>2</w:t>
      </w:r>
      <w:r>
        <w:rPr>
          <w:rFonts w:hint="eastAsia"/>
          <w:color w:val="auto"/>
          <w:kern w:val="0"/>
          <w:highlight w:val="none"/>
        </w:rPr>
        <w:t xml:space="preserve">名。监测工作实行质量负责制，组长负责组织实施监测工作，制定监测管理制度，审核、统计、分析、汇编监测成果，对监测总报告进行审核。 </w:t>
      </w:r>
    </w:p>
    <w:p>
      <w:pPr>
        <w:widowControl/>
        <w:jc w:val="left"/>
        <w:rPr>
          <w:color w:val="auto"/>
          <w:highlight w:val="none"/>
        </w:rPr>
      </w:pPr>
      <w:r>
        <w:rPr>
          <w:rFonts w:ascii="Times New Roman" w:hAnsi="Times New Roman"/>
          <w:color w:val="auto"/>
          <w:kern w:val="0"/>
          <w:highlight w:val="none"/>
        </w:rPr>
        <w:t>2</w:t>
      </w:r>
      <w:r>
        <w:rPr>
          <w:rFonts w:hint="eastAsia"/>
          <w:color w:val="auto"/>
          <w:kern w:val="0"/>
          <w:highlight w:val="none"/>
        </w:rPr>
        <w:t xml:space="preserve">、人员配备及分工 </w:t>
      </w:r>
    </w:p>
    <w:p>
      <w:pPr>
        <w:widowControl/>
        <w:jc w:val="left"/>
        <w:rPr>
          <w:color w:val="auto"/>
          <w:highlight w:val="none"/>
        </w:rPr>
      </w:pPr>
      <w:r>
        <w:rPr>
          <w:rFonts w:hint="eastAsia"/>
          <w:color w:val="auto"/>
          <w:kern w:val="0"/>
          <w:highlight w:val="none"/>
        </w:rPr>
        <w:t>本工程水土保持监测的项目负责人为刘漠，技术负责人为刘毅。监测技术人员为</w:t>
      </w:r>
      <w:r>
        <w:rPr>
          <w:rFonts w:hint="eastAsia"/>
          <w:color w:val="auto"/>
          <w:kern w:val="0"/>
          <w:highlight w:val="none"/>
          <w:lang w:eastAsia="zh-CN"/>
        </w:rPr>
        <w:t>：</w:t>
      </w:r>
      <w:r>
        <w:rPr>
          <w:rFonts w:hint="eastAsia"/>
          <w:color w:val="auto"/>
          <w:kern w:val="0"/>
          <w:highlight w:val="none"/>
        </w:rPr>
        <w:t xml:space="preserve">张海涛、钟诚、刘漠、刘灿等共 </w:t>
      </w:r>
      <w:r>
        <w:rPr>
          <w:rFonts w:ascii="Times New Roman" w:hAnsi="Times New Roman"/>
          <w:color w:val="auto"/>
          <w:kern w:val="0"/>
          <w:highlight w:val="none"/>
        </w:rPr>
        <w:t xml:space="preserve">6 </w:t>
      </w:r>
      <w:r>
        <w:rPr>
          <w:rFonts w:hint="eastAsia"/>
          <w:color w:val="auto"/>
          <w:kern w:val="0"/>
          <w:highlight w:val="none"/>
        </w:rPr>
        <w:t>人。</w:t>
      </w:r>
    </w:p>
    <w:p>
      <w:pPr>
        <w:widowControl/>
        <w:jc w:val="center"/>
        <w:rPr>
          <w:rFonts w:hint="eastAsia"/>
          <w:color w:val="auto"/>
          <w:kern w:val="0"/>
          <w:highlight w:val="none"/>
          <w:vertAlign w:val="baseline"/>
        </w:rPr>
      </w:pPr>
      <w:r>
        <w:rPr>
          <w:rFonts w:hint="eastAsia"/>
          <w:b/>
          <w:bCs/>
          <w:color w:val="auto"/>
          <w:kern w:val="0"/>
          <w:highlight w:val="none"/>
        </w:rPr>
        <w:t xml:space="preserve">表 </w:t>
      </w:r>
      <w:r>
        <w:rPr>
          <w:rFonts w:ascii="Times New Roman" w:hAnsi="Times New Roman"/>
          <w:b/>
          <w:bCs/>
          <w:color w:val="auto"/>
          <w:kern w:val="0"/>
          <w:highlight w:val="none"/>
        </w:rPr>
        <w:t xml:space="preserve">1.3-1 </w:t>
      </w:r>
      <w:r>
        <w:rPr>
          <w:rFonts w:hint="eastAsia"/>
          <w:b/>
          <w:bCs/>
          <w:color w:val="auto"/>
          <w:kern w:val="0"/>
          <w:highlight w:val="none"/>
          <w:lang w:val="en-US" w:eastAsia="zh-CN"/>
        </w:rPr>
        <w:t xml:space="preserve">            </w:t>
      </w:r>
      <w:r>
        <w:rPr>
          <w:rFonts w:hint="eastAsia"/>
          <w:b/>
          <w:bCs/>
          <w:color w:val="auto"/>
          <w:kern w:val="0"/>
          <w:highlight w:val="none"/>
        </w:rPr>
        <w:t>本项目投入监测人员汇总表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932"/>
        <w:gridCol w:w="1586"/>
        <w:gridCol w:w="2646"/>
        <w:gridCol w:w="1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tcPr>
          <w:p>
            <w:pPr>
              <w:widowControl/>
              <w:spacing w:line="240" w:lineRule="auto"/>
              <w:ind w:left="0" w:leftChars="0" w:firstLine="0" w:firstLineChars="0"/>
              <w:jc w:val="left"/>
              <w:rPr>
                <w:rFonts w:hint="eastAsia" w:eastAsia="仿宋_GB2312"/>
                <w:color w:val="auto"/>
                <w:kern w:val="0"/>
                <w:highlight w:val="none"/>
                <w:vertAlign w:val="baseline"/>
                <w:lang w:val="en-US" w:eastAsia="zh-CN"/>
              </w:rPr>
            </w:pPr>
            <w:r>
              <w:rPr>
                <w:rFonts w:hint="eastAsia"/>
                <w:color w:val="auto"/>
                <w:kern w:val="0"/>
                <w:highlight w:val="none"/>
                <w:vertAlign w:val="baseline"/>
                <w:lang w:val="en-US" w:eastAsia="zh-CN"/>
              </w:rPr>
              <w:t>序号</w:t>
            </w:r>
          </w:p>
        </w:tc>
        <w:tc>
          <w:tcPr>
            <w:tcW w:w="932" w:type="dxa"/>
          </w:tcPr>
          <w:p>
            <w:pPr>
              <w:widowControl/>
              <w:spacing w:line="240" w:lineRule="auto"/>
              <w:ind w:left="0" w:leftChars="0" w:firstLine="0" w:firstLineChars="0"/>
              <w:jc w:val="left"/>
              <w:rPr>
                <w:rFonts w:hint="eastAsia" w:eastAsia="仿宋_GB2312"/>
                <w:color w:val="auto"/>
                <w:kern w:val="0"/>
                <w:highlight w:val="none"/>
                <w:vertAlign w:val="baseline"/>
                <w:lang w:val="en-US" w:eastAsia="zh-CN"/>
              </w:rPr>
            </w:pPr>
            <w:r>
              <w:rPr>
                <w:rFonts w:hint="eastAsia"/>
                <w:color w:val="auto"/>
                <w:kern w:val="0"/>
                <w:highlight w:val="none"/>
                <w:vertAlign w:val="baseline"/>
                <w:lang w:val="en-US" w:eastAsia="zh-CN"/>
              </w:rPr>
              <w:t>姓名</w:t>
            </w:r>
          </w:p>
        </w:tc>
        <w:tc>
          <w:tcPr>
            <w:tcW w:w="1586" w:type="dxa"/>
          </w:tcPr>
          <w:p>
            <w:pPr>
              <w:widowControl/>
              <w:spacing w:line="240" w:lineRule="auto"/>
              <w:ind w:left="0" w:leftChars="0" w:firstLine="0" w:firstLineChars="0"/>
              <w:jc w:val="left"/>
              <w:rPr>
                <w:rFonts w:hint="default" w:eastAsia="仿宋_GB2312"/>
                <w:color w:val="auto"/>
                <w:kern w:val="0"/>
                <w:highlight w:val="none"/>
                <w:vertAlign w:val="baseline"/>
                <w:lang w:val="en-US" w:eastAsia="zh-CN"/>
              </w:rPr>
            </w:pPr>
            <w:r>
              <w:rPr>
                <w:rFonts w:hint="eastAsia"/>
                <w:color w:val="auto"/>
                <w:kern w:val="0"/>
                <w:highlight w:val="none"/>
                <w:vertAlign w:val="baseline"/>
                <w:lang w:val="en-US" w:eastAsia="zh-CN"/>
              </w:rPr>
              <w:t>技术职称</w:t>
            </w:r>
          </w:p>
        </w:tc>
        <w:tc>
          <w:tcPr>
            <w:tcW w:w="2646" w:type="dxa"/>
          </w:tcPr>
          <w:p>
            <w:pPr>
              <w:widowControl/>
              <w:spacing w:line="240" w:lineRule="auto"/>
              <w:ind w:left="0" w:leftChars="0" w:firstLine="0" w:firstLineChars="0"/>
              <w:jc w:val="left"/>
              <w:rPr>
                <w:rFonts w:hint="default" w:eastAsia="仿宋_GB2312"/>
                <w:color w:val="auto"/>
                <w:kern w:val="0"/>
                <w:highlight w:val="none"/>
                <w:vertAlign w:val="baseline"/>
                <w:lang w:val="en-US" w:eastAsia="zh-CN"/>
              </w:rPr>
            </w:pPr>
            <w:r>
              <w:rPr>
                <w:rFonts w:hint="eastAsia"/>
                <w:color w:val="auto"/>
                <w:kern w:val="0"/>
                <w:highlight w:val="none"/>
                <w:vertAlign w:val="baseline"/>
                <w:lang w:val="en-US" w:eastAsia="zh-CN"/>
              </w:rPr>
              <w:t>资格证书种类</w:t>
            </w:r>
          </w:p>
        </w:tc>
        <w:tc>
          <w:tcPr>
            <w:tcW w:w="1786" w:type="dxa"/>
          </w:tcPr>
          <w:p>
            <w:pPr>
              <w:widowControl/>
              <w:spacing w:line="240" w:lineRule="auto"/>
              <w:ind w:left="0" w:leftChars="0" w:firstLine="0" w:firstLineChars="0"/>
              <w:jc w:val="left"/>
              <w:rPr>
                <w:rFonts w:hint="default" w:eastAsia="仿宋_GB2312"/>
                <w:color w:val="auto"/>
                <w:kern w:val="0"/>
                <w:highlight w:val="none"/>
                <w:vertAlign w:val="baseline"/>
                <w:lang w:val="en-US" w:eastAsia="zh-CN"/>
              </w:rPr>
            </w:pPr>
            <w:r>
              <w:rPr>
                <w:rFonts w:hint="eastAsia"/>
                <w:color w:val="auto"/>
                <w:kern w:val="0"/>
                <w:highlight w:val="none"/>
                <w:vertAlign w:val="baseline"/>
                <w:lang w:val="en-US" w:eastAsia="zh-CN"/>
              </w:rPr>
              <w:t>拟担任的职务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tcPr>
          <w:p>
            <w:pPr>
              <w:widowControl/>
              <w:spacing w:line="240" w:lineRule="auto"/>
              <w:ind w:left="0" w:leftChars="0" w:firstLine="0" w:firstLineChars="0"/>
              <w:jc w:val="left"/>
              <w:rPr>
                <w:rFonts w:hint="eastAsia" w:eastAsia="仿宋_GB2312"/>
                <w:color w:val="auto"/>
                <w:kern w:val="0"/>
                <w:highlight w:val="none"/>
                <w:vertAlign w:val="baseline"/>
                <w:lang w:val="en-US" w:eastAsia="zh-CN"/>
              </w:rPr>
            </w:pPr>
            <w:r>
              <w:rPr>
                <w:rFonts w:hint="eastAsia"/>
                <w:color w:val="auto"/>
                <w:kern w:val="0"/>
                <w:highlight w:val="none"/>
                <w:vertAlign w:val="baseline"/>
                <w:lang w:val="en-US" w:eastAsia="zh-CN"/>
              </w:rPr>
              <w:t>1</w:t>
            </w:r>
          </w:p>
        </w:tc>
        <w:tc>
          <w:tcPr>
            <w:tcW w:w="932" w:type="dxa"/>
          </w:tcPr>
          <w:p>
            <w:pPr>
              <w:widowControl/>
              <w:spacing w:line="240" w:lineRule="auto"/>
              <w:ind w:left="0" w:leftChars="0" w:firstLine="0" w:firstLineChars="0"/>
              <w:jc w:val="left"/>
              <w:rPr>
                <w:rFonts w:hint="eastAsia"/>
                <w:color w:val="auto"/>
                <w:kern w:val="0"/>
                <w:highlight w:val="none"/>
                <w:vertAlign w:val="baseline"/>
              </w:rPr>
            </w:pPr>
          </w:p>
        </w:tc>
        <w:tc>
          <w:tcPr>
            <w:tcW w:w="1586" w:type="dxa"/>
          </w:tcPr>
          <w:p>
            <w:pPr>
              <w:widowControl/>
              <w:spacing w:line="240" w:lineRule="auto"/>
              <w:ind w:left="0" w:leftChars="0" w:firstLine="0" w:firstLineChars="0"/>
              <w:jc w:val="left"/>
              <w:rPr>
                <w:rFonts w:hint="eastAsia"/>
                <w:color w:val="auto"/>
                <w:kern w:val="0"/>
                <w:highlight w:val="none"/>
                <w:vertAlign w:val="baseline"/>
              </w:rPr>
            </w:pPr>
          </w:p>
        </w:tc>
        <w:tc>
          <w:tcPr>
            <w:tcW w:w="2646" w:type="dxa"/>
          </w:tcPr>
          <w:p>
            <w:pPr>
              <w:widowControl/>
              <w:spacing w:line="240" w:lineRule="auto"/>
              <w:ind w:left="0" w:leftChars="0" w:firstLine="0" w:firstLineChars="0"/>
              <w:jc w:val="left"/>
              <w:rPr>
                <w:rFonts w:hint="eastAsia"/>
                <w:color w:val="auto"/>
                <w:kern w:val="0"/>
                <w:highlight w:val="none"/>
                <w:vertAlign w:val="baseline"/>
              </w:rPr>
            </w:pPr>
          </w:p>
        </w:tc>
        <w:tc>
          <w:tcPr>
            <w:tcW w:w="1786" w:type="dxa"/>
          </w:tcPr>
          <w:p>
            <w:pPr>
              <w:widowControl/>
              <w:spacing w:line="240" w:lineRule="auto"/>
              <w:ind w:left="0" w:leftChars="0" w:firstLine="0" w:firstLineChars="0"/>
              <w:jc w:val="left"/>
              <w:rPr>
                <w:rFonts w:hint="eastAsia"/>
                <w:color w:val="auto"/>
                <w:kern w:val="0"/>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32" w:type="dxa"/>
          </w:tcPr>
          <w:p>
            <w:pPr>
              <w:widowControl/>
              <w:spacing w:line="240" w:lineRule="auto"/>
              <w:ind w:left="0" w:leftChars="0" w:firstLine="0" w:firstLineChars="0"/>
              <w:jc w:val="left"/>
              <w:rPr>
                <w:rFonts w:hint="eastAsia" w:eastAsia="仿宋_GB2312"/>
                <w:color w:val="auto"/>
                <w:kern w:val="0"/>
                <w:highlight w:val="none"/>
                <w:vertAlign w:val="baseline"/>
                <w:lang w:val="en-US" w:eastAsia="zh-CN"/>
              </w:rPr>
            </w:pPr>
            <w:r>
              <w:rPr>
                <w:rFonts w:hint="eastAsia"/>
                <w:color w:val="auto"/>
                <w:kern w:val="0"/>
                <w:highlight w:val="none"/>
                <w:vertAlign w:val="baseline"/>
                <w:lang w:val="en-US" w:eastAsia="zh-CN"/>
              </w:rPr>
              <w:t>2</w:t>
            </w:r>
          </w:p>
        </w:tc>
        <w:tc>
          <w:tcPr>
            <w:tcW w:w="932" w:type="dxa"/>
          </w:tcPr>
          <w:p>
            <w:pPr>
              <w:widowControl/>
              <w:spacing w:line="240" w:lineRule="auto"/>
              <w:ind w:left="0" w:leftChars="0" w:firstLine="0" w:firstLineChars="0"/>
              <w:jc w:val="left"/>
              <w:rPr>
                <w:rFonts w:hint="eastAsia"/>
                <w:color w:val="auto"/>
                <w:kern w:val="0"/>
                <w:highlight w:val="none"/>
                <w:vertAlign w:val="baseline"/>
              </w:rPr>
            </w:pPr>
          </w:p>
        </w:tc>
        <w:tc>
          <w:tcPr>
            <w:tcW w:w="1586" w:type="dxa"/>
          </w:tcPr>
          <w:p>
            <w:pPr>
              <w:widowControl/>
              <w:spacing w:line="240" w:lineRule="auto"/>
              <w:ind w:left="0" w:leftChars="0" w:firstLine="0" w:firstLineChars="0"/>
              <w:jc w:val="left"/>
              <w:rPr>
                <w:rFonts w:hint="eastAsia"/>
                <w:color w:val="auto"/>
                <w:kern w:val="0"/>
                <w:highlight w:val="none"/>
                <w:vertAlign w:val="baseline"/>
              </w:rPr>
            </w:pPr>
          </w:p>
        </w:tc>
        <w:tc>
          <w:tcPr>
            <w:tcW w:w="2646" w:type="dxa"/>
          </w:tcPr>
          <w:p>
            <w:pPr>
              <w:widowControl/>
              <w:spacing w:line="240" w:lineRule="auto"/>
              <w:ind w:left="0" w:leftChars="0" w:firstLine="0" w:firstLineChars="0"/>
              <w:jc w:val="left"/>
              <w:rPr>
                <w:rFonts w:hint="eastAsia"/>
                <w:color w:val="auto"/>
                <w:kern w:val="0"/>
                <w:highlight w:val="none"/>
                <w:vertAlign w:val="baseline"/>
              </w:rPr>
            </w:pPr>
          </w:p>
        </w:tc>
        <w:tc>
          <w:tcPr>
            <w:tcW w:w="1786" w:type="dxa"/>
          </w:tcPr>
          <w:p>
            <w:pPr>
              <w:widowControl/>
              <w:spacing w:line="240" w:lineRule="auto"/>
              <w:ind w:left="0" w:leftChars="0" w:firstLine="0" w:firstLineChars="0"/>
              <w:jc w:val="left"/>
              <w:rPr>
                <w:rFonts w:hint="eastAsia"/>
                <w:color w:val="auto"/>
                <w:kern w:val="0"/>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tcPr>
          <w:p>
            <w:pPr>
              <w:widowControl/>
              <w:spacing w:line="240" w:lineRule="auto"/>
              <w:ind w:left="0" w:leftChars="0" w:firstLine="0" w:firstLineChars="0"/>
              <w:jc w:val="left"/>
              <w:rPr>
                <w:rFonts w:hint="eastAsia" w:eastAsia="仿宋_GB2312"/>
                <w:color w:val="auto"/>
                <w:kern w:val="0"/>
                <w:highlight w:val="none"/>
                <w:vertAlign w:val="baseline"/>
                <w:lang w:val="en-US" w:eastAsia="zh-CN"/>
              </w:rPr>
            </w:pPr>
            <w:r>
              <w:rPr>
                <w:rFonts w:hint="eastAsia"/>
                <w:color w:val="auto"/>
                <w:kern w:val="0"/>
                <w:highlight w:val="none"/>
                <w:vertAlign w:val="baseline"/>
                <w:lang w:val="en-US" w:eastAsia="zh-CN"/>
              </w:rPr>
              <w:t>3</w:t>
            </w:r>
          </w:p>
        </w:tc>
        <w:tc>
          <w:tcPr>
            <w:tcW w:w="932" w:type="dxa"/>
          </w:tcPr>
          <w:p>
            <w:pPr>
              <w:widowControl/>
              <w:spacing w:line="240" w:lineRule="auto"/>
              <w:ind w:left="0" w:leftChars="0" w:firstLine="0" w:firstLineChars="0"/>
              <w:jc w:val="left"/>
              <w:rPr>
                <w:rFonts w:hint="eastAsia"/>
                <w:color w:val="auto"/>
                <w:kern w:val="0"/>
                <w:highlight w:val="none"/>
                <w:vertAlign w:val="baseline"/>
              </w:rPr>
            </w:pPr>
          </w:p>
        </w:tc>
        <w:tc>
          <w:tcPr>
            <w:tcW w:w="1586" w:type="dxa"/>
          </w:tcPr>
          <w:p>
            <w:pPr>
              <w:widowControl/>
              <w:spacing w:line="240" w:lineRule="auto"/>
              <w:ind w:left="0" w:leftChars="0" w:firstLine="0" w:firstLineChars="0"/>
              <w:jc w:val="left"/>
              <w:rPr>
                <w:rFonts w:hint="eastAsia"/>
                <w:color w:val="auto"/>
                <w:kern w:val="0"/>
                <w:highlight w:val="none"/>
                <w:vertAlign w:val="baseline"/>
              </w:rPr>
            </w:pPr>
          </w:p>
        </w:tc>
        <w:tc>
          <w:tcPr>
            <w:tcW w:w="2646" w:type="dxa"/>
          </w:tcPr>
          <w:p>
            <w:pPr>
              <w:widowControl/>
              <w:spacing w:line="240" w:lineRule="auto"/>
              <w:ind w:left="0" w:leftChars="0" w:firstLine="0" w:firstLineChars="0"/>
              <w:jc w:val="left"/>
              <w:rPr>
                <w:rFonts w:hint="eastAsia"/>
                <w:color w:val="auto"/>
                <w:kern w:val="0"/>
                <w:highlight w:val="none"/>
                <w:vertAlign w:val="baseline"/>
              </w:rPr>
            </w:pPr>
          </w:p>
        </w:tc>
        <w:tc>
          <w:tcPr>
            <w:tcW w:w="1786" w:type="dxa"/>
          </w:tcPr>
          <w:p>
            <w:pPr>
              <w:widowControl/>
              <w:spacing w:line="240" w:lineRule="auto"/>
              <w:ind w:left="0" w:leftChars="0" w:firstLine="0" w:firstLineChars="0"/>
              <w:jc w:val="left"/>
              <w:rPr>
                <w:rFonts w:hint="eastAsia"/>
                <w:color w:val="auto"/>
                <w:kern w:val="0"/>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tcPr>
          <w:p>
            <w:pPr>
              <w:widowControl/>
              <w:spacing w:line="240" w:lineRule="auto"/>
              <w:ind w:left="0" w:leftChars="0" w:firstLine="0" w:firstLineChars="0"/>
              <w:jc w:val="left"/>
              <w:rPr>
                <w:rFonts w:hint="eastAsia" w:eastAsia="仿宋_GB2312"/>
                <w:color w:val="auto"/>
                <w:kern w:val="0"/>
                <w:highlight w:val="none"/>
                <w:vertAlign w:val="baseline"/>
                <w:lang w:val="en-US" w:eastAsia="zh-CN"/>
              </w:rPr>
            </w:pPr>
            <w:r>
              <w:rPr>
                <w:rFonts w:hint="eastAsia"/>
                <w:color w:val="auto"/>
                <w:kern w:val="0"/>
                <w:highlight w:val="none"/>
                <w:vertAlign w:val="baseline"/>
                <w:lang w:val="en-US" w:eastAsia="zh-CN"/>
              </w:rPr>
              <w:t>4</w:t>
            </w:r>
          </w:p>
        </w:tc>
        <w:tc>
          <w:tcPr>
            <w:tcW w:w="932" w:type="dxa"/>
          </w:tcPr>
          <w:p>
            <w:pPr>
              <w:widowControl/>
              <w:spacing w:line="240" w:lineRule="auto"/>
              <w:ind w:left="0" w:leftChars="0" w:firstLine="0" w:firstLineChars="0"/>
              <w:jc w:val="left"/>
              <w:rPr>
                <w:rFonts w:hint="eastAsia"/>
                <w:color w:val="auto"/>
                <w:kern w:val="0"/>
                <w:highlight w:val="none"/>
                <w:vertAlign w:val="baseline"/>
              </w:rPr>
            </w:pPr>
          </w:p>
        </w:tc>
        <w:tc>
          <w:tcPr>
            <w:tcW w:w="1586" w:type="dxa"/>
          </w:tcPr>
          <w:p>
            <w:pPr>
              <w:widowControl/>
              <w:spacing w:line="240" w:lineRule="auto"/>
              <w:ind w:left="0" w:leftChars="0" w:firstLine="0" w:firstLineChars="0"/>
              <w:jc w:val="left"/>
              <w:rPr>
                <w:rFonts w:hint="eastAsia"/>
                <w:color w:val="auto"/>
                <w:kern w:val="0"/>
                <w:highlight w:val="none"/>
                <w:vertAlign w:val="baseline"/>
              </w:rPr>
            </w:pPr>
          </w:p>
        </w:tc>
        <w:tc>
          <w:tcPr>
            <w:tcW w:w="2646" w:type="dxa"/>
          </w:tcPr>
          <w:p>
            <w:pPr>
              <w:widowControl/>
              <w:spacing w:line="240" w:lineRule="auto"/>
              <w:ind w:left="0" w:leftChars="0" w:firstLine="0" w:firstLineChars="0"/>
              <w:jc w:val="left"/>
              <w:rPr>
                <w:rFonts w:hint="eastAsia"/>
                <w:color w:val="auto"/>
                <w:kern w:val="0"/>
                <w:highlight w:val="none"/>
                <w:vertAlign w:val="baseline"/>
              </w:rPr>
            </w:pPr>
          </w:p>
        </w:tc>
        <w:tc>
          <w:tcPr>
            <w:tcW w:w="1786" w:type="dxa"/>
          </w:tcPr>
          <w:p>
            <w:pPr>
              <w:widowControl/>
              <w:spacing w:line="240" w:lineRule="auto"/>
              <w:ind w:left="0" w:leftChars="0" w:firstLine="0" w:firstLineChars="0"/>
              <w:jc w:val="left"/>
              <w:rPr>
                <w:rFonts w:hint="eastAsia"/>
                <w:color w:val="auto"/>
                <w:kern w:val="0"/>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tcPr>
          <w:p>
            <w:pPr>
              <w:widowControl/>
              <w:spacing w:line="240" w:lineRule="auto"/>
              <w:ind w:left="0" w:leftChars="0" w:firstLine="0" w:firstLineChars="0"/>
              <w:jc w:val="left"/>
              <w:rPr>
                <w:rFonts w:hint="eastAsia" w:eastAsia="仿宋_GB2312"/>
                <w:color w:val="auto"/>
                <w:kern w:val="0"/>
                <w:highlight w:val="none"/>
                <w:vertAlign w:val="baseline"/>
                <w:lang w:val="en-US" w:eastAsia="zh-CN"/>
              </w:rPr>
            </w:pPr>
            <w:r>
              <w:rPr>
                <w:rFonts w:hint="eastAsia"/>
                <w:color w:val="auto"/>
                <w:kern w:val="0"/>
                <w:highlight w:val="none"/>
                <w:vertAlign w:val="baseline"/>
                <w:lang w:val="en-US" w:eastAsia="zh-CN"/>
              </w:rPr>
              <w:t>5</w:t>
            </w:r>
          </w:p>
        </w:tc>
        <w:tc>
          <w:tcPr>
            <w:tcW w:w="932" w:type="dxa"/>
          </w:tcPr>
          <w:p>
            <w:pPr>
              <w:widowControl/>
              <w:spacing w:line="240" w:lineRule="auto"/>
              <w:ind w:left="0" w:leftChars="0" w:firstLine="0" w:firstLineChars="0"/>
              <w:jc w:val="left"/>
              <w:rPr>
                <w:rFonts w:hint="eastAsia"/>
                <w:color w:val="auto"/>
                <w:kern w:val="0"/>
                <w:highlight w:val="none"/>
                <w:vertAlign w:val="baseline"/>
              </w:rPr>
            </w:pPr>
          </w:p>
        </w:tc>
        <w:tc>
          <w:tcPr>
            <w:tcW w:w="1586" w:type="dxa"/>
          </w:tcPr>
          <w:p>
            <w:pPr>
              <w:widowControl/>
              <w:spacing w:line="240" w:lineRule="auto"/>
              <w:ind w:left="0" w:leftChars="0" w:firstLine="0" w:firstLineChars="0"/>
              <w:jc w:val="left"/>
              <w:rPr>
                <w:rFonts w:hint="eastAsia"/>
                <w:color w:val="auto"/>
                <w:kern w:val="0"/>
                <w:highlight w:val="none"/>
                <w:vertAlign w:val="baseline"/>
              </w:rPr>
            </w:pPr>
          </w:p>
        </w:tc>
        <w:tc>
          <w:tcPr>
            <w:tcW w:w="2646" w:type="dxa"/>
          </w:tcPr>
          <w:p>
            <w:pPr>
              <w:widowControl/>
              <w:spacing w:line="240" w:lineRule="auto"/>
              <w:ind w:left="0" w:leftChars="0" w:firstLine="0" w:firstLineChars="0"/>
              <w:jc w:val="left"/>
              <w:rPr>
                <w:rFonts w:hint="eastAsia"/>
                <w:color w:val="auto"/>
                <w:kern w:val="0"/>
                <w:highlight w:val="none"/>
                <w:vertAlign w:val="baseline"/>
              </w:rPr>
            </w:pPr>
          </w:p>
        </w:tc>
        <w:tc>
          <w:tcPr>
            <w:tcW w:w="1786" w:type="dxa"/>
          </w:tcPr>
          <w:p>
            <w:pPr>
              <w:widowControl/>
              <w:spacing w:line="240" w:lineRule="auto"/>
              <w:ind w:left="0" w:leftChars="0" w:firstLine="0" w:firstLineChars="0"/>
              <w:jc w:val="left"/>
              <w:rPr>
                <w:rFonts w:hint="eastAsia"/>
                <w:color w:val="auto"/>
                <w:kern w:val="0"/>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tcPr>
          <w:p>
            <w:pPr>
              <w:widowControl/>
              <w:spacing w:line="240" w:lineRule="auto"/>
              <w:ind w:left="0" w:leftChars="0" w:firstLine="0" w:firstLineChars="0"/>
              <w:jc w:val="left"/>
              <w:rPr>
                <w:rFonts w:hint="eastAsia" w:eastAsia="仿宋_GB2312"/>
                <w:color w:val="auto"/>
                <w:kern w:val="0"/>
                <w:highlight w:val="none"/>
                <w:vertAlign w:val="baseline"/>
                <w:lang w:val="en-US" w:eastAsia="zh-CN"/>
              </w:rPr>
            </w:pPr>
            <w:r>
              <w:rPr>
                <w:rFonts w:hint="eastAsia"/>
                <w:color w:val="auto"/>
                <w:kern w:val="0"/>
                <w:highlight w:val="none"/>
                <w:vertAlign w:val="baseline"/>
                <w:lang w:val="en-US" w:eastAsia="zh-CN"/>
              </w:rPr>
              <w:t>6</w:t>
            </w:r>
          </w:p>
        </w:tc>
        <w:tc>
          <w:tcPr>
            <w:tcW w:w="932" w:type="dxa"/>
          </w:tcPr>
          <w:p>
            <w:pPr>
              <w:widowControl/>
              <w:spacing w:line="240" w:lineRule="auto"/>
              <w:ind w:left="0" w:leftChars="0" w:firstLine="0" w:firstLineChars="0"/>
              <w:jc w:val="left"/>
              <w:rPr>
                <w:rFonts w:hint="eastAsia"/>
                <w:color w:val="auto"/>
                <w:kern w:val="0"/>
                <w:highlight w:val="none"/>
                <w:vertAlign w:val="baseline"/>
              </w:rPr>
            </w:pPr>
          </w:p>
        </w:tc>
        <w:tc>
          <w:tcPr>
            <w:tcW w:w="1586" w:type="dxa"/>
          </w:tcPr>
          <w:p>
            <w:pPr>
              <w:widowControl/>
              <w:spacing w:line="240" w:lineRule="auto"/>
              <w:ind w:left="0" w:leftChars="0" w:firstLine="0" w:firstLineChars="0"/>
              <w:jc w:val="left"/>
              <w:rPr>
                <w:rFonts w:hint="eastAsia"/>
                <w:color w:val="auto"/>
                <w:kern w:val="0"/>
                <w:highlight w:val="none"/>
                <w:vertAlign w:val="baseline"/>
              </w:rPr>
            </w:pPr>
          </w:p>
        </w:tc>
        <w:tc>
          <w:tcPr>
            <w:tcW w:w="2646" w:type="dxa"/>
          </w:tcPr>
          <w:p>
            <w:pPr>
              <w:widowControl/>
              <w:spacing w:line="240" w:lineRule="auto"/>
              <w:ind w:left="0" w:leftChars="0" w:firstLine="0" w:firstLineChars="0"/>
              <w:jc w:val="left"/>
              <w:rPr>
                <w:rFonts w:hint="eastAsia"/>
                <w:color w:val="auto"/>
                <w:kern w:val="0"/>
                <w:highlight w:val="none"/>
                <w:vertAlign w:val="baseline"/>
              </w:rPr>
            </w:pPr>
          </w:p>
        </w:tc>
        <w:tc>
          <w:tcPr>
            <w:tcW w:w="1786" w:type="dxa"/>
          </w:tcPr>
          <w:p>
            <w:pPr>
              <w:widowControl/>
              <w:spacing w:line="240" w:lineRule="auto"/>
              <w:ind w:left="0" w:leftChars="0" w:firstLine="0" w:firstLineChars="0"/>
              <w:jc w:val="left"/>
              <w:rPr>
                <w:rFonts w:hint="eastAsia"/>
                <w:color w:val="auto"/>
                <w:kern w:val="0"/>
                <w:highlight w:val="none"/>
                <w:vertAlign w:val="baseline"/>
              </w:rPr>
            </w:pPr>
          </w:p>
        </w:tc>
      </w:tr>
    </w:tbl>
    <w:p>
      <w:pPr>
        <w:pStyle w:val="5"/>
        <w:bidi w:val="0"/>
        <w:rPr>
          <w:rFonts w:hint="eastAsia"/>
          <w:color w:val="auto"/>
          <w:highlight w:val="none"/>
        </w:rPr>
      </w:pPr>
      <w:bookmarkStart w:id="7" w:name="_Toc22299"/>
      <w:r>
        <w:rPr>
          <w:color w:val="auto"/>
          <w:highlight w:val="none"/>
        </w:rPr>
        <w:t xml:space="preserve">1.3.4 </w:t>
      </w:r>
      <w:r>
        <w:rPr>
          <w:rFonts w:hint="eastAsia"/>
          <w:color w:val="auto"/>
          <w:highlight w:val="none"/>
        </w:rPr>
        <w:t>监测设施设备</w:t>
      </w:r>
      <w:bookmarkEnd w:id="7"/>
      <w:r>
        <w:rPr>
          <w:rFonts w:hint="eastAsia"/>
          <w:color w:val="auto"/>
          <w:highlight w:val="none"/>
        </w:rPr>
        <w:t xml:space="preserve"> </w:t>
      </w:r>
    </w:p>
    <w:p>
      <w:pPr>
        <w:widowControl/>
        <w:jc w:val="left"/>
        <w:rPr>
          <w:color w:val="auto"/>
          <w:highlight w:val="none"/>
        </w:rPr>
      </w:pPr>
      <w:r>
        <w:rPr>
          <w:rFonts w:hint="eastAsia"/>
          <w:color w:val="auto"/>
          <w:kern w:val="0"/>
          <w:highlight w:val="none"/>
        </w:rPr>
        <w:t xml:space="preserve">水土保持监测设备主要对水土保持防治措施数量、质量及其防治效果等监测时用到的设备。水土保持监测设施和设备见表 </w:t>
      </w:r>
      <w:r>
        <w:rPr>
          <w:rFonts w:ascii="Times New Roman" w:hAnsi="Times New Roman"/>
          <w:color w:val="auto"/>
          <w:kern w:val="0"/>
          <w:highlight w:val="none"/>
        </w:rPr>
        <w:t>1.3-2</w:t>
      </w:r>
    </w:p>
    <w:p>
      <w:pPr>
        <w:widowControl/>
        <w:ind w:firstLine="1446" w:firstLineChars="600"/>
        <w:jc w:val="both"/>
        <w:rPr>
          <w:color w:val="auto"/>
          <w:kern w:val="0"/>
          <w:highlight w:val="none"/>
          <w:vertAlign w:val="baseline"/>
        </w:rPr>
      </w:pPr>
      <w:r>
        <w:rPr>
          <w:rFonts w:hint="eastAsia"/>
          <w:b/>
          <w:bCs/>
          <w:color w:val="auto"/>
          <w:kern w:val="0"/>
          <w:highlight w:val="none"/>
        </w:rPr>
        <w:t xml:space="preserve">表 </w:t>
      </w:r>
      <w:r>
        <w:rPr>
          <w:rFonts w:ascii="Times New Roman" w:hAnsi="Times New Roman"/>
          <w:b/>
          <w:bCs/>
          <w:color w:val="auto"/>
          <w:kern w:val="0"/>
          <w:highlight w:val="none"/>
        </w:rPr>
        <w:t>1.3.4</w:t>
      </w:r>
      <w:r>
        <w:rPr>
          <w:rFonts w:hint="eastAsia"/>
          <w:b/>
          <w:bCs/>
          <w:color w:val="auto"/>
          <w:kern w:val="0"/>
          <w:highlight w:val="none"/>
          <w:lang w:val="en-US" w:eastAsia="zh-CN"/>
        </w:rPr>
        <w:t xml:space="preserve">                 </w:t>
      </w:r>
      <w:r>
        <w:rPr>
          <w:rFonts w:ascii="Times New Roman" w:hAnsi="Times New Roman"/>
          <w:b/>
          <w:bCs/>
          <w:color w:val="auto"/>
          <w:kern w:val="0"/>
          <w:highlight w:val="none"/>
        </w:rPr>
        <w:t xml:space="preserve"> </w:t>
      </w:r>
      <w:r>
        <w:rPr>
          <w:rFonts w:hint="eastAsia"/>
          <w:b/>
          <w:bCs/>
          <w:color w:val="auto"/>
          <w:kern w:val="0"/>
          <w:highlight w:val="none"/>
        </w:rPr>
        <w:t>监测设施设备表</w:t>
      </w:r>
    </w:p>
    <w:tbl>
      <w:tblPr>
        <w:tblStyle w:val="22"/>
        <w:tblW w:w="86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2201"/>
        <w:gridCol w:w="1593"/>
        <w:gridCol w:w="520"/>
        <w:gridCol w:w="492"/>
        <w:gridCol w:w="2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14"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序号</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设施和设备</w:t>
            </w:r>
          </w:p>
        </w:tc>
        <w:tc>
          <w:tcPr>
            <w:tcW w:w="159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型号</w:t>
            </w:r>
          </w:p>
        </w:tc>
        <w:tc>
          <w:tcPr>
            <w:tcW w:w="520"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单位</w:t>
            </w:r>
          </w:p>
        </w:tc>
        <w:tc>
          <w:tcPr>
            <w:tcW w:w="492"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数量</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一</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监测设备</w:t>
            </w:r>
          </w:p>
        </w:tc>
        <w:tc>
          <w:tcPr>
            <w:tcW w:w="159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自动安平水准仪</w:t>
            </w:r>
          </w:p>
        </w:tc>
        <w:tc>
          <w:tcPr>
            <w:tcW w:w="159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DS/DSC30</w:t>
            </w: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套</w:t>
            </w: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测多标桩间距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土壤水分仪</w:t>
            </w:r>
          </w:p>
        </w:tc>
        <w:tc>
          <w:tcPr>
            <w:tcW w:w="159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PRE1/4</w:t>
            </w: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套</w:t>
            </w: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测4个深度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泥沙浊度仪</w:t>
            </w:r>
          </w:p>
        </w:tc>
        <w:tc>
          <w:tcPr>
            <w:tcW w:w="159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A9-Z201C</w:t>
            </w: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套</w:t>
            </w: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泥沙快速测定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精密天平</w:t>
            </w:r>
          </w:p>
        </w:tc>
        <w:tc>
          <w:tcPr>
            <w:tcW w:w="159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SatoriousBL610</w:t>
            </w: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套</w:t>
            </w: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1/10000g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5</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烘箱</w:t>
            </w:r>
          </w:p>
        </w:tc>
        <w:tc>
          <w:tcPr>
            <w:tcW w:w="159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9240A</w:t>
            </w: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套</w:t>
            </w: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带鼓风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6</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手持式GPS</w:t>
            </w:r>
          </w:p>
        </w:tc>
        <w:tc>
          <w:tcPr>
            <w:tcW w:w="159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GOSIV型</w:t>
            </w: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台</w:t>
            </w: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用于监测点、场地及现象点的定位和测量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7</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数码照相机</w:t>
            </w:r>
          </w:p>
        </w:tc>
        <w:tc>
          <w:tcPr>
            <w:tcW w:w="159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台</w:t>
            </w: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用于监测现象的图片记录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计算机</w:t>
            </w:r>
          </w:p>
        </w:tc>
        <w:tc>
          <w:tcPr>
            <w:tcW w:w="1593"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台</w:t>
            </w: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用于文字，图表处理和计算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制图软件</w:t>
            </w:r>
          </w:p>
        </w:tc>
        <w:tc>
          <w:tcPr>
            <w:tcW w:w="1593"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套</w:t>
            </w: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用于图件的绘制和数据处理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二</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消耗性用品</w:t>
            </w:r>
          </w:p>
        </w:tc>
        <w:tc>
          <w:tcPr>
            <w:tcW w:w="1593"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520"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492"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2947"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用品柜</w:t>
            </w:r>
          </w:p>
        </w:tc>
        <w:tc>
          <w:tcPr>
            <w:tcW w:w="1593"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个</w:t>
            </w: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试剂、物品、资料贮存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皮尺、卷尺、卡尺、罗盘等</w:t>
            </w:r>
          </w:p>
        </w:tc>
        <w:tc>
          <w:tcPr>
            <w:tcW w:w="1593"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5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套</w:t>
            </w:r>
          </w:p>
        </w:tc>
        <w:tc>
          <w:tcPr>
            <w:tcW w:w="49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w:t>
            </w: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用于观测侵蚀量及沉降变化、植被生长情况及其它测量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易耗品</w:t>
            </w:r>
          </w:p>
        </w:tc>
        <w:tc>
          <w:tcPr>
            <w:tcW w:w="1593"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520"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492"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样品分析用品、玻璃器皿、化学试剂、分析纯、打印纸等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w:t>
            </w:r>
          </w:p>
        </w:tc>
        <w:tc>
          <w:tcPr>
            <w:tcW w:w="220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副材及配套设施</w:t>
            </w:r>
          </w:p>
        </w:tc>
        <w:tc>
          <w:tcPr>
            <w:tcW w:w="1593"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520"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492"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2947"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用于各种设备安装补助材料、小五金构件及易损坏配件补充</w:t>
            </w:r>
          </w:p>
        </w:tc>
      </w:tr>
    </w:tbl>
    <w:p>
      <w:pPr>
        <w:widowControl/>
        <w:ind w:left="0" w:leftChars="0" w:firstLine="0" w:firstLineChars="0"/>
        <w:jc w:val="left"/>
        <w:rPr>
          <w:rFonts w:hint="eastAsia"/>
          <w:color w:val="auto"/>
          <w:kern w:val="0"/>
          <w:highlight w:val="none"/>
        </w:rPr>
      </w:pPr>
    </w:p>
    <w:p>
      <w:pPr>
        <w:widowControl/>
        <w:jc w:val="left"/>
        <w:rPr>
          <w:rFonts w:hint="eastAsia" w:ascii="Calibri" w:hAnsi="Calibri" w:eastAsia="宋体"/>
          <w:color w:val="auto"/>
          <w:sz w:val="21"/>
          <w:szCs w:val="21"/>
          <w:highlight w:val="none"/>
        </w:rPr>
      </w:pPr>
      <w:r>
        <w:rPr>
          <w:rFonts w:ascii="Times New Roman" w:hAnsi="Times New Roman"/>
          <w:color w:val="auto"/>
          <w:kern w:val="0"/>
          <w:sz w:val="28"/>
          <w:szCs w:val="28"/>
          <w:highlight w:val="none"/>
        </w:rPr>
        <w:t xml:space="preserve">1.3.5 </w:t>
      </w:r>
      <w:r>
        <w:rPr>
          <w:rFonts w:hint="eastAsia" w:ascii="黑体" w:hAnsi="黑体" w:eastAsia="黑体"/>
          <w:color w:val="auto"/>
          <w:kern w:val="0"/>
          <w:sz w:val="28"/>
          <w:szCs w:val="28"/>
          <w:highlight w:val="none"/>
        </w:rPr>
        <w:t>监测技术方法</w:t>
      </w:r>
      <w:r>
        <w:rPr>
          <w:rFonts w:hint="eastAsia" w:ascii="黑体" w:hAnsi="宋体" w:eastAsia="黑体"/>
          <w:color w:val="auto"/>
          <w:kern w:val="0"/>
          <w:sz w:val="28"/>
          <w:szCs w:val="28"/>
          <w:highlight w:val="none"/>
        </w:rPr>
        <w:t xml:space="preserve"> </w:t>
      </w:r>
    </w:p>
    <w:p>
      <w:pPr>
        <w:widowControl/>
        <w:jc w:val="left"/>
        <w:rPr>
          <w:color w:val="auto"/>
          <w:kern w:val="0"/>
          <w:highlight w:val="none"/>
        </w:rPr>
      </w:pPr>
      <w:r>
        <w:rPr>
          <w:rFonts w:hint="eastAsia"/>
          <w:color w:val="auto"/>
          <w:kern w:val="0"/>
          <w:highlight w:val="none"/>
        </w:rPr>
        <w:t xml:space="preserve">主要包括调查、资料收集、访问、咨询、统计、测量及外排水含沙量监测等方法，同时采用抽样调查方式进行，抽样调查采用随即抽样的方式进行，样地数计算结果增加 </w:t>
      </w:r>
      <w:r>
        <w:rPr>
          <w:rFonts w:ascii="Times New Roman" w:hAnsi="Times New Roman"/>
          <w:color w:val="auto"/>
          <w:kern w:val="0"/>
          <w:highlight w:val="none"/>
        </w:rPr>
        <w:t>10%</w:t>
      </w:r>
      <w:r>
        <w:rPr>
          <w:rFonts w:hint="eastAsia"/>
          <w:color w:val="auto"/>
          <w:kern w:val="0"/>
          <w:highlight w:val="none"/>
        </w:rPr>
        <w:t xml:space="preserve">的安全系数。抽样样地采用正方形、长方形或圆形样地，草地为 </w:t>
      </w:r>
      <w:r>
        <w:rPr>
          <w:rFonts w:ascii="Times New Roman" w:hAnsi="Times New Roman"/>
          <w:color w:val="auto"/>
          <w:kern w:val="0"/>
          <w:highlight w:val="none"/>
        </w:rPr>
        <w:t>1~4</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 xml:space="preserve">，其它根据 实际情况确定。一次综合抽样，各种不同地类的样地面积保持一致。 </w:t>
      </w:r>
    </w:p>
    <w:p>
      <w:pPr>
        <w:widowControl/>
        <w:jc w:val="left"/>
        <w:rPr>
          <w:color w:val="auto"/>
          <w:highlight w:val="none"/>
        </w:rPr>
      </w:pPr>
      <w:r>
        <w:rPr>
          <w:rFonts w:hint="eastAsia"/>
          <w:color w:val="auto"/>
          <w:kern w:val="0"/>
          <w:highlight w:val="none"/>
        </w:rPr>
        <w:t xml:space="preserve">外排水含沙量监测采用取样称重的方法，取沉沙池中一定体积的具有代表性的水样，经过预处里，然后烘干称重，计算得出每立方米水中所含的泥沙质量，得出外排 含沙量。取样断面设在场内排水沟或集水井处，每个断面从中间取样，以测定和计算所取断面水中平均泥沙含量。 </w:t>
      </w:r>
    </w:p>
    <w:p>
      <w:pPr>
        <w:widowControl/>
        <w:jc w:val="left"/>
        <w:rPr>
          <w:color w:val="auto"/>
          <w:highlight w:val="none"/>
        </w:rPr>
      </w:pPr>
      <w:r>
        <w:rPr>
          <w:rFonts w:ascii="Times New Roman" w:hAnsi="Times New Roman"/>
          <w:color w:val="auto"/>
          <w:kern w:val="0"/>
          <w:sz w:val="28"/>
          <w:szCs w:val="28"/>
          <w:highlight w:val="none"/>
        </w:rPr>
        <w:t xml:space="preserve">1.3.6 </w:t>
      </w:r>
      <w:r>
        <w:rPr>
          <w:rFonts w:hint="eastAsia" w:ascii="黑体" w:hAnsi="黑体" w:eastAsia="黑体"/>
          <w:color w:val="auto"/>
          <w:kern w:val="0"/>
          <w:sz w:val="28"/>
          <w:szCs w:val="28"/>
          <w:highlight w:val="none"/>
        </w:rPr>
        <w:t>监测成果提交情况</w:t>
      </w:r>
      <w:r>
        <w:rPr>
          <w:rFonts w:hint="eastAsia" w:ascii="黑体" w:hAnsi="宋体" w:eastAsia="黑体"/>
          <w:color w:val="auto"/>
          <w:kern w:val="0"/>
          <w:sz w:val="28"/>
          <w:szCs w:val="28"/>
          <w:highlight w:val="none"/>
        </w:rPr>
        <w:t xml:space="preserve"> </w:t>
      </w:r>
    </w:p>
    <w:p>
      <w:pPr>
        <w:widowControl/>
        <w:jc w:val="left"/>
        <w:rPr>
          <w:color w:val="auto"/>
          <w:highlight w:val="none"/>
        </w:rPr>
      </w:pPr>
      <w:r>
        <w:rPr>
          <w:rFonts w:ascii="Times New Roman" w:hAnsi="Times New Roman"/>
          <w:color w:val="auto"/>
          <w:kern w:val="0"/>
          <w:highlight w:val="none"/>
        </w:rPr>
        <w:t>20</w:t>
      </w:r>
      <w:r>
        <w:rPr>
          <w:rFonts w:hint="eastAsia"/>
          <w:color w:val="auto"/>
          <w:kern w:val="0"/>
          <w:highlight w:val="none"/>
          <w:lang w:val="en-US" w:eastAsia="zh-CN"/>
        </w:rPr>
        <w:t>21</w:t>
      </w:r>
      <w:r>
        <w:rPr>
          <w:rFonts w:hint="eastAsia"/>
          <w:color w:val="auto"/>
          <w:kern w:val="0"/>
          <w:highlight w:val="none"/>
        </w:rPr>
        <w:t>年</w:t>
      </w:r>
      <w:r>
        <w:rPr>
          <w:rFonts w:hint="eastAsia"/>
          <w:color w:val="auto"/>
          <w:kern w:val="0"/>
          <w:highlight w:val="none"/>
          <w:lang w:val="en-US" w:eastAsia="zh-CN"/>
        </w:rPr>
        <w:t>12</w:t>
      </w:r>
      <w:r>
        <w:rPr>
          <w:rFonts w:hint="eastAsia"/>
          <w:color w:val="auto"/>
          <w:kern w:val="0"/>
          <w:highlight w:val="none"/>
        </w:rPr>
        <w:t>月入场，根据现场监测、调查监测和资料收集，完成实施方案</w:t>
      </w:r>
      <w:r>
        <w:rPr>
          <w:rFonts w:ascii="Times New Roman" w:hAnsi="Times New Roman"/>
          <w:color w:val="auto"/>
          <w:kern w:val="0"/>
          <w:highlight w:val="none"/>
        </w:rPr>
        <w:t>1</w:t>
      </w:r>
      <w:r>
        <w:rPr>
          <w:rFonts w:hint="eastAsia"/>
          <w:color w:val="auto"/>
          <w:kern w:val="0"/>
          <w:highlight w:val="none"/>
        </w:rPr>
        <w:t>期，监测季报</w:t>
      </w:r>
      <w:r>
        <w:rPr>
          <w:rFonts w:hint="eastAsia"/>
          <w:color w:val="auto"/>
          <w:kern w:val="0"/>
          <w:highlight w:val="none"/>
          <w:lang w:val="en-US" w:eastAsia="zh-CN"/>
        </w:rPr>
        <w:t>1</w:t>
      </w:r>
      <w:r>
        <w:rPr>
          <w:rFonts w:hint="eastAsia"/>
          <w:color w:val="auto"/>
          <w:kern w:val="0"/>
          <w:highlight w:val="none"/>
        </w:rPr>
        <w:t>期，监测总结报告</w:t>
      </w:r>
      <w:r>
        <w:rPr>
          <w:rFonts w:ascii="Times New Roman" w:hAnsi="Times New Roman"/>
          <w:color w:val="auto"/>
          <w:kern w:val="0"/>
          <w:highlight w:val="none"/>
        </w:rPr>
        <w:t>1</w:t>
      </w:r>
      <w:r>
        <w:rPr>
          <w:rFonts w:hint="eastAsia"/>
          <w:color w:val="auto"/>
          <w:kern w:val="0"/>
          <w:highlight w:val="none"/>
        </w:rPr>
        <w:t>期</w:t>
      </w:r>
      <w:r>
        <w:rPr>
          <w:rFonts w:hint="eastAsia"/>
          <w:color w:val="auto"/>
          <w:kern w:val="0"/>
          <w:highlight w:val="none"/>
          <w:lang w:eastAsia="zh-CN"/>
        </w:rPr>
        <w:t>，</w:t>
      </w:r>
      <w:r>
        <w:rPr>
          <w:rFonts w:hint="eastAsia"/>
          <w:color w:val="auto"/>
          <w:kern w:val="0"/>
          <w:highlight w:val="none"/>
          <w:lang w:val="en-US" w:eastAsia="zh-CN"/>
        </w:rPr>
        <w:t>验收报告1期。</w:t>
      </w:r>
      <w:r>
        <w:rPr>
          <w:rFonts w:hint="eastAsia"/>
          <w:color w:val="auto"/>
          <w:kern w:val="0"/>
          <w:highlight w:val="none"/>
        </w:rPr>
        <w:t>监测成果均已提交</w:t>
      </w:r>
      <w:r>
        <w:rPr>
          <w:rFonts w:hint="eastAsia"/>
          <w:color w:val="auto"/>
          <w:kern w:val="0"/>
          <w:highlight w:val="none"/>
          <w:lang w:val="en-US" w:eastAsia="zh-CN"/>
        </w:rPr>
        <w:t>衡阳市城市建设投资有限公司。</w:t>
      </w:r>
      <w:r>
        <w:rPr>
          <w:rFonts w:hint="eastAsia"/>
          <w:color w:val="auto"/>
          <w:kern w:val="0"/>
          <w:highlight w:val="none"/>
        </w:rPr>
        <w:t xml:space="preserve"> </w:t>
      </w:r>
    </w:p>
    <w:p>
      <w:pPr>
        <w:widowControl/>
        <w:jc w:val="left"/>
        <w:rPr>
          <w:rFonts w:ascii="Times New Roman" w:hAnsi="Times New Roman"/>
          <w:color w:val="auto"/>
          <w:kern w:val="0"/>
          <w:sz w:val="28"/>
          <w:szCs w:val="28"/>
          <w:highlight w:val="none"/>
        </w:rPr>
      </w:pPr>
      <w:r>
        <w:rPr>
          <w:rFonts w:hint="eastAsia"/>
          <w:color w:val="auto"/>
          <w:sz w:val="28"/>
          <w:szCs w:val="28"/>
          <w:highlight w:val="none"/>
          <w:lang w:val="en-US" w:eastAsia="zh-CN"/>
        </w:rPr>
        <w:drawing>
          <wp:anchor distT="0" distB="0" distL="114935" distR="114935" simplePos="0" relativeHeight="251659264" behindDoc="0" locked="0" layoutInCell="1" allowOverlap="1">
            <wp:simplePos x="0" y="0"/>
            <wp:positionH relativeFrom="column">
              <wp:posOffset>777240</wp:posOffset>
            </wp:positionH>
            <wp:positionV relativeFrom="page">
              <wp:posOffset>-406400</wp:posOffset>
            </wp:positionV>
            <wp:extent cx="4152265" cy="4100195"/>
            <wp:effectExtent l="0" t="0" r="14605" b="635"/>
            <wp:wrapSquare wrapText="bothSides"/>
            <wp:docPr id="25" name="图片 7" descr="f16c3395a7e857b61f9898f3e235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 descr="f16c3395a7e857b61f9898f3e235692"/>
                    <pic:cNvPicPr>
                      <a:picLocks noChangeAspect="1"/>
                    </pic:cNvPicPr>
                  </pic:nvPicPr>
                  <pic:blipFill>
                    <a:blip r:embed="rId8"/>
                    <a:stretch>
                      <a:fillRect/>
                    </a:stretch>
                  </pic:blipFill>
                  <pic:spPr>
                    <a:xfrm rot="5400000">
                      <a:off x="0" y="0"/>
                      <a:ext cx="4152265" cy="4100195"/>
                    </a:xfrm>
                    <a:prstGeom prst="rect">
                      <a:avLst/>
                    </a:prstGeom>
                    <a:noFill/>
                    <a:ln>
                      <a:noFill/>
                    </a:ln>
                  </pic:spPr>
                </pic:pic>
              </a:graphicData>
            </a:graphic>
          </wp:anchor>
        </w:drawing>
      </w:r>
    </w:p>
    <w:p>
      <w:pPr>
        <w:widowControl/>
        <w:jc w:val="left"/>
        <w:rPr>
          <w:rFonts w:ascii="Times New Roman" w:hAnsi="Times New Roman"/>
          <w:color w:val="auto"/>
          <w:kern w:val="0"/>
          <w:sz w:val="28"/>
          <w:szCs w:val="28"/>
          <w:highlight w:val="none"/>
        </w:rPr>
      </w:pPr>
    </w:p>
    <w:p>
      <w:pPr>
        <w:widowControl/>
        <w:jc w:val="left"/>
        <w:rPr>
          <w:color w:val="auto"/>
          <w:highlight w:val="none"/>
        </w:rPr>
      </w:pPr>
      <w:r>
        <w:rPr>
          <w:rFonts w:ascii="Times New Roman" w:hAnsi="Times New Roman"/>
          <w:color w:val="auto"/>
          <w:kern w:val="0"/>
          <w:sz w:val="28"/>
          <w:szCs w:val="28"/>
          <w:highlight w:val="none"/>
        </w:rPr>
        <w:t xml:space="preserve">1.3.7 </w:t>
      </w:r>
      <w:r>
        <w:rPr>
          <w:rFonts w:hint="eastAsia" w:ascii="黑体" w:hAnsi="黑体" w:eastAsia="黑体"/>
          <w:color w:val="auto"/>
          <w:kern w:val="0"/>
          <w:sz w:val="28"/>
          <w:szCs w:val="28"/>
          <w:highlight w:val="none"/>
        </w:rPr>
        <w:t>监测阶段性成果</w:t>
      </w:r>
      <w:r>
        <w:rPr>
          <w:rFonts w:hint="eastAsia" w:ascii="黑体" w:hAnsi="宋体" w:eastAsia="黑体"/>
          <w:color w:val="auto"/>
          <w:kern w:val="0"/>
          <w:sz w:val="28"/>
          <w:szCs w:val="28"/>
          <w:highlight w:val="none"/>
        </w:rPr>
        <w:t xml:space="preserve"> </w:t>
      </w:r>
    </w:p>
    <w:p>
      <w:pPr>
        <w:bidi w:val="0"/>
        <w:rPr>
          <w:rFonts w:hint="eastAsia"/>
          <w:color w:val="auto"/>
          <w:highlight w:val="none"/>
          <w:lang w:eastAsia="zh-CN"/>
        </w:rPr>
      </w:pPr>
      <w:r>
        <w:rPr>
          <w:rFonts w:hint="eastAsia"/>
          <w:color w:val="auto"/>
          <w:highlight w:val="none"/>
        </w:rPr>
        <w:t>通过遥感监测，并对卫星遥感图片处理，得出开工前、施工中和完工后的遥感影像，详见下图</w:t>
      </w:r>
      <w:r>
        <w:rPr>
          <w:rFonts w:hint="eastAsia"/>
          <w:color w:val="auto"/>
          <w:highlight w:val="none"/>
          <w:lang w:eastAsia="zh-CN"/>
        </w:rPr>
        <w:t>。</w:t>
      </w:r>
    </w:p>
    <w:p>
      <w:pPr>
        <w:pStyle w:val="2"/>
        <w:ind w:left="0" w:leftChars="0" w:firstLine="0" w:firstLineChars="0"/>
        <w:rPr>
          <w:rFonts w:hint="eastAsia"/>
          <w:color w:val="auto"/>
          <w:kern w:val="0"/>
          <w:highlight w:val="none"/>
          <w:lang w:eastAsia="zh-CN"/>
        </w:rPr>
      </w:pPr>
    </w:p>
    <w:p>
      <w:pPr>
        <w:bidi w:val="0"/>
        <w:rPr>
          <w:rFonts w:hint="eastAsia"/>
          <w:color w:val="auto"/>
          <w:highlight w:val="none"/>
          <w:lang w:eastAsia="zh-CN"/>
        </w:rPr>
        <w:sectPr>
          <w:pgSz w:w="11906" w:h="16838"/>
          <w:pgMar w:top="1440" w:right="1440" w:bottom="1440" w:left="1440" w:header="851" w:footer="992" w:gutter="0"/>
          <w:cols w:space="0" w:num="1"/>
          <w:rtlGutter w:val="0"/>
          <w:docGrid w:type="lines" w:linePitch="312" w:charSpace="0"/>
        </w:sectPr>
      </w:pPr>
      <w:r>
        <w:rPr>
          <w:rFonts w:hint="eastAsia" w:eastAsia="宋体"/>
          <w:color w:val="auto"/>
          <w:highlight w:val="none"/>
          <w:lang w:val="en-US" w:eastAsia="zh-CN"/>
        </w:rPr>
        <w:drawing>
          <wp:anchor distT="0" distB="0" distL="114935" distR="114935" simplePos="0" relativeHeight="251660288" behindDoc="0" locked="0" layoutInCell="1" allowOverlap="1">
            <wp:simplePos x="0" y="0"/>
            <wp:positionH relativeFrom="column">
              <wp:posOffset>588645</wp:posOffset>
            </wp:positionH>
            <wp:positionV relativeFrom="page">
              <wp:posOffset>5203190</wp:posOffset>
            </wp:positionV>
            <wp:extent cx="4127500" cy="4557395"/>
            <wp:effectExtent l="0" t="0" r="6350" b="14605"/>
            <wp:wrapSquare wrapText="bothSides"/>
            <wp:docPr id="7" name="图片 7" descr="微信图片_20190103110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190103110918"/>
                    <pic:cNvPicPr>
                      <a:picLocks noChangeAspect="1"/>
                    </pic:cNvPicPr>
                  </pic:nvPicPr>
                  <pic:blipFill>
                    <a:blip r:embed="rId9"/>
                    <a:stretch>
                      <a:fillRect/>
                    </a:stretch>
                  </pic:blipFill>
                  <pic:spPr>
                    <a:xfrm>
                      <a:off x="0" y="0"/>
                      <a:ext cx="4127500" cy="4557395"/>
                    </a:xfrm>
                    <a:prstGeom prst="rect">
                      <a:avLst/>
                    </a:prstGeom>
                    <a:noFill/>
                    <a:ln>
                      <a:noFill/>
                    </a:ln>
                  </pic:spPr>
                </pic:pic>
              </a:graphicData>
            </a:graphic>
          </wp:anchor>
        </w:drawing>
      </w:r>
    </w:p>
    <w:p>
      <w:pPr>
        <w:pStyle w:val="3"/>
        <w:bidi w:val="0"/>
        <w:rPr>
          <w:color w:val="auto"/>
          <w:highlight w:val="none"/>
        </w:rPr>
      </w:pPr>
      <w:bookmarkStart w:id="8" w:name="_Toc20024"/>
      <w:r>
        <w:rPr>
          <w:color w:val="auto"/>
          <w:highlight w:val="none"/>
        </w:rPr>
        <w:t>2 监测内容与方法</w:t>
      </w:r>
      <w:bookmarkEnd w:id="8"/>
      <w:r>
        <w:rPr>
          <w:color w:val="auto"/>
          <w:highlight w:val="none"/>
        </w:rPr>
        <w:t xml:space="preserve"> </w:t>
      </w:r>
    </w:p>
    <w:p>
      <w:pPr>
        <w:pStyle w:val="4"/>
        <w:bidi w:val="0"/>
        <w:rPr>
          <w:color w:val="auto"/>
          <w:highlight w:val="none"/>
        </w:rPr>
      </w:pPr>
      <w:bookmarkStart w:id="9" w:name="_Toc16871"/>
      <w:r>
        <w:rPr>
          <w:color w:val="auto"/>
          <w:highlight w:val="none"/>
        </w:rPr>
        <w:t>2.1 扰动地表情况监测</w:t>
      </w:r>
      <w:bookmarkEnd w:id="9"/>
      <w:r>
        <w:rPr>
          <w:color w:val="auto"/>
          <w:highlight w:val="none"/>
        </w:rPr>
        <w:t xml:space="preserve"> </w:t>
      </w:r>
    </w:p>
    <w:p>
      <w:pPr>
        <w:bidi w:val="0"/>
        <w:rPr>
          <w:color w:val="auto"/>
          <w:highlight w:val="none"/>
        </w:rPr>
      </w:pPr>
      <w:r>
        <w:rPr>
          <w:color w:val="auto"/>
          <w:highlight w:val="none"/>
        </w:rPr>
        <w:t>扰动土地情况监测的内容包括扰动范围、面积、土地利用类型及其变化情况等。扰 动土地情况监测采用实地量测、GPS 测量和资料分析的方法。</w:t>
      </w:r>
    </w:p>
    <w:p>
      <w:pPr>
        <w:pStyle w:val="4"/>
        <w:rPr>
          <w:color w:val="auto"/>
          <w:highlight w:val="none"/>
        </w:rPr>
      </w:pPr>
      <w:r>
        <w:rPr>
          <w:color w:val="auto"/>
          <w:highlight w:val="none"/>
        </w:rPr>
        <w:t xml:space="preserve"> </w:t>
      </w:r>
      <w:bookmarkStart w:id="10" w:name="_Toc9591"/>
      <w:r>
        <w:rPr>
          <w:color w:val="auto"/>
          <w:highlight w:val="none"/>
        </w:rPr>
        <w:t>2.2 取土、弃渣监测</w:t>
      </w:r>
      <w:bookmarkEnd w:id="10"/>
      <w:r>
        <w:rPr>
          <w:color w:val="auto"/>
          <w:highlight w:val="none"/>
        </w:rPr>
        <w:t xml:space="preserve"> </w:t>
      </w:r>
    </w:p>
    <w:p>
      <w:pPr>
        <w:bidi w:val="0"/>
        <w:rPr>
          <w:color w:val="auto"/>
          <w:highlight w:val="none"/>
        </w:rPr>
      </w:pPr>
      <w:r>
        <w:rPr>
          <w:color w:val="auto"/>
          <w:highlight w:val="none"/>
        </w:rPr>
        <w:t>采用查阅设计文件资料，结合实地情况调查、GPS 测量分析，进行对比核实，核算 工程挖方、填方数量。</w:t>
      </w:r>
    </w:p>
    <w:p>
      <w:pPr>
        <w:pStyle w:val="4"/>
        <w:rPr>
          <w:color w:val="auto"/>
          <w:highlight w:val="none"/>
        </w:rPr>
      </w:pPr>
      <w:r>
        <w:rPr>
          <w:color w:val="auto"/>
          <w:highlight w:val="none"/>
        </w:rPr>
        <w:t xml:space="preserve"> </w:t>
      </w:r>
      <w:bookmarkStart w:id="11" w:name="_Toc8674"/>
      <w:r>
        <w:rPr>
          <w:color w:val="auto"/>
          <w:highlight w:val="none"/>
        </w:rPr>
        <w:t>2.3 水土保持措施</w:t>
      </w:r>
      <w:bookmarkEnd w:id="11"/>
    </w:p>
    <w:p>
      <w:pPr>
        <w:spacing w:line="360" w:lineRule="auto"/>
        <w:rPr>
          <w:color w:val="auto"/>
          <w:highlight w:val="none"/>
        </w:rPr>
      </w:pPr>
      <w:r>
        <w:rPr>
          <w:color w:val="auto"/>
          <w:highlight w:val="none"/>
        </w:rPr>
        <w:t>水土保持措施监测采用实地量测和资料分析相结合的方法。工程及临时措施，主要调查其实施进度、稳定性、完好程度、质量和运行状况；植物措施主要调查其成活率、生长状况及林草覆盖度情况</w:t>
      </w:r>
      <w:r>
        <w:rPr>
          <w:rFonts w:hint="eastAsia"/>
          <w:color w:val="auto"/>
          <w:highlight w:val="none"/>
          <w:lang w:eastAsia="zh-CN"/>
        </w:rPr>
        <w:t>。</w:t>
      </w:r>
      <w:r>
        <w:rPr>
          <w:color w:val="auto"/>
          <w:highlight w:val="none"/>
        </w:rPr>
        <w:t>依据批复的水保方案、施工图设计及各标段施工组织设计等</w:t>
      </w:r>
      <w:r>
        <w:rPr>
          <w:rFonts w:hint="eastAsia"/>
          <w:color w:val="auto"/>
          <w:highlight w:val="none"/>
          <w:lang w:eastAsia="zh-CN"/>
        </w:rPr>
        <w:t>，</w:t>
      </w:r>
      <w:r>
        <w:rPr>
          <w:color w:val="auto"/>
          <w:highlight w:val="none"/>
        </w:rPr>
        <w:t xml:space="preserve">根据现场实际情况，建立水土保持措施名录。在工程建设中，依据监测方法和频次，定期开展水土保持措施监测，填写记录表。水土保持措施监测内容与方法见表 2.3-1。 </w:t>
      </w:r>
    </w:p>
    <w:p>
      <w:pPr>
        <w:pStyle w:val="2"/>
        <w:rPr>
          <w:rFonts w:hint="eastAsia"/>
          <w:color w:val="auto"/>
          <w:highlight w:val="none"/>
          <w:lang w:val="en-US" w:eastAsia="zh-CN"/>
        </w:rPr>
      </w:pPr>
      <w:r>
        <w:rPr>
          <w:rFonts w:hint="eastAsia"/>
          <w:b/>
          <w:bCs/>
          <w:color w:val="auto"/>
          <w:highlight w:val="none"/>
          <w:lang w:val="en-US" w:eastAsia="zh-CN"/>
        </w:rPr>
        <w:t>表2.3-1       水土保持措施检测内容与方法</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检测内容</w:t>
            </w:r>
          </w:p>
        </w:tc>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检测指标</w:t>
            </w:r>
          </w:p>
        </w:tc>
        <w:tc>
          <w:tcPr>
            <w:tcW w:w="213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检测方法</w:t>
            </w:r>
          </w:p>
        </w:tc>
        <w:tc>
          <w:tcPr>
            <w:tcW w:w="213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检测设备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工程措施</w:t>
            </w:r>
          </w:p>
        </w:tc>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类型</w:t>
            </w:r>
          </w:p>
        </w:tc>
        <w:tc>
          <w:tcPr>
            <w:tcW w:w="2131"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现场调查、查阅资料、巡查</w:t>
            </w:r>
          </w:p>
        </w:tc>
        <w:tc>
          <w:tcPr>
            <w:tcW w:w="2131"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照相机、皮尺、测距仪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数量</w:t>
            </w: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质量</w:t>
            </w: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植物措施</w:t>
            </w:r>
          </w:p>
        </w:tc>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类型</w:t>
            </w:r>
          </w:p>
        </w:tc>
        <w:tc>
          <w:tcPr>
            <w:tcW w:w="2131"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样方调查、查阅资料、巡查</w:t>
            </w:r>
          </w:p>
        </w:tc>
        <w:tc>
          <w:tcPr>
            <w:tcW w:w="2131"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照相机、皮尺、卷尺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绿化面积</w:t>
            </w: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存活率、养护情况</w:t>
            </w: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林草覆盖率</w:t>
            </w: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数量</w:t>
            </w: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防治效果</w:t>
            </w: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2131"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对周边水保生态环境发挥的作用</w:t>
            </w:r>
          </w:p>
        </w:tc>
        <w:tc>
          <w:tcPr>
            <w:tcW w:w="213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是否出现较大水土流失事件</w:t>
            </w:r>
          </w:p>
        </w:tc>
        <w:tc>
          <w:tcPr>
            <w:tcW w:w="213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全面调查、重点巡查</w:t>
            </w:r>
          </w:p>
        </w:tc>
        <w:tc>
          <w:tcPr>
            <w:tcW w:w="213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bl>
    <w:p>
      <w:pPr>
        <w:pStyle w:val="4"/>
        <w:bidi w:val="0"/>
        <w:rPr>
          <w:color w:val="auto"/>
          <w:highlight w:val="none"/>
        </w:rPr>
      </w:pPr>
      <w:bookmarkStart w:id="12" w:name="_Toc20091"/>
      <w:r>
        <w:rPr>
          <w:color w:val="auto"/>
          <w:highlight w:val="none"/>
        </w:rPr>
        <w:t>2.4 水土流失情况</w:t>
      </w:r>
      <w:bookmarkEnd w:id="12"/>
      <w:r>
        <w:rPr>
          <w:color w:val="auto"/>
          <w:highlight w:val="none"/>
        </w:rPr>
        <w:t xml:space="preserve"> </w:t>
      </w:r>
    </w:p>
    <w:p>
      <w:pPr>
        <w:bidi w:val="0"/>
        <w:rPr>
          <w:color w:val="auto"/>
          <w:highlight w:val="none"/>
        </w:rPr>
        <w:sectPr>
          <w:pgSz w:w="11906" w:h="16838"/>
          <w:pgMar w:top="1440" w:right="1440" w:bottom="1440" w:left="1440" w:header="851" w:footer="992" w:gutter="0"/>
          <w:cols w:space="0" w:num="1"/>
          <w:rtlGutter w:val="0"/>
          <w:docGrid w:type="lines" w:linePitch="312" w:charSpace="0"/>
        </w:sectPr>
      </w:pPr>
      <w:r>
        <w:rPr>
          <w:color w:val="auto"/>
          <w:highlight w:val="none"/>
        </w:rPr>
        <w:t>根据方案报告书，本工程造成的水土流失类型主要为水蚀，工程建设区场地平整、 基坑开挖等扰动地表施工活动引起的水土流失量及变化情况，可通过现场调查对施工 期、植被恢复期的水土流失情况进行监测。</w:t>
      </w:r>
    </w:p>
    <w:p>
      <w:pPr>
        <w:pStyle w:val="3"/>
        <w:rPr>
          <w:color w:val="auto"/>
          <w:highlight w:val="none"/>
        </w:rPr>
      </w:pPr>
      <w:bookmarkStart w:id="13" w:name="_Toc23949"/>
      <w:r>
        <w:rPr>
          <w:color w:val="auto"/>
          <w:highlight w:val="none"/>
        </w:rPr>
        <w:t>3 重点部位水土流失动态监测</w:t>
      </w:r>
      <w:bookmarkEnd w:id="13"/>
      <w:r>
        <w:rPr>
          <w:color w:val="auto"/>
          <w:highlight w:val="none"/>
        </w:rPr>
        <w:t xml:space="preserve"> </w:t>
      </w:r>
    </w:p>
    <w:p>
      <w:pPr>
        <w:pStyle w:val="4"/>
        <w:rPr>
          <w:color w:val="auto"/>
          <w:highlight w:val="none"/>
        </w:rPr>
      </w:pPr>
      <w:bookmarkStart w:id="14" w:name="_Toc17010"/>
      <w:r>
        <w:rPr>
          <w:color w:val="auto"/>
          <w:highlight w:val="none"/>
        </w:rPr>
        <w:t>3.1 防治责任范围监测</w:t>
      </w:r>
      <w:bookmarkEnd w:id="14"/>
      <w:r>
        <w:rPr>
          <w:color w:val="auto"/>
          <w:highlight w:val="none"/>
        </w:rPr>
        <w:t xml:space="preserve"> </w:t>
      </w:r>
    </w:p>
    <w:p>
      <w:pPr>
        <w:pStyle w:val="5"/>
        <w:bidi w:val="0"/>
        <w:rPr>
          <w:color w:val="auto"/>
          <w:highlight w:val="none"/>
        </w:rPr>
      </w:pPr>
      <w:bookmarkStart w:id="15" w:name="_Toc11107"/>
      <w:r>
        <w:rPr>
          <w:color w:val="auto"/>
          <w:highlight w:val="none"/>
        </w:rPr>
        <w:t>3.1.1 水土保持防治责任范围</w:t>
      </w:r>
      <w:bookmarkEnd w:id="15"/>
      <w:r>
        <w:rPr>
          <w:color w:val="auto"/>
          <w:highlight w:val="none"/>
        </w:rPr>
        <w:t xml:space="preserve"> </w:t>
      </w:r>
    </w:p>
    <w:p>
      <w:pPr>
        <w:spacing w:line="360" w:lineRule="auto"/>
        <w:rPr>
          <w:color w:val="auto"/>
          <w:highlight w:val="none"/>
        </w:rPr>
      </w:pPr>
      <w:r>
        <w:rPr>
          <w:color w:val="auto"/>
          <w:highlight w:val="none"/>
        </w:rPr>
        <w:t>批复的方案报告书中，本工程建设项目包括：</w:t>
      </w:r>
      <w:r>
        <w:rPr>
          <w:rFonts w:hint="eastAsia"/>
          <w:color w:val="auto"/>
          <w:highlight w:val="none"/>
          <w:lang w:val="en-US" w:eastAsia="zh-CN"/>
        </w:rPr>
        <w:t>A、B、C三个区域</w:t>
      </w:r>
      <w:r>
        <w:rPr>
          <w:color w:val="auto"/>
          <w:highlight w:val="none"/>
        </w:rPr>
        <w:t>。工程水土流失防治责任范围</w:t>
      </w:r>
      <w:r>
        <w:rPr>
          <w:rFonts w:hint="eastAsia"/>
          <w:color w:val="auto"/>
          <w:highlight w:val="none"/>
          <w:lang w:val="en-US" w:eastAsia="zh-CN"/>
        </w:rPr>
        <w:t>为8.61</w:t>
      </w:r>
      <w:r>
        <w:rPr>
          <w:color w:val="auto"/>
          <w:highlight w:val="none"/>
        </w:rPr>
        <w:t>h</w:t>
      </w:r>
      <w:r>
        <w:rPr>
          <w:rFonts w:hint="eastAsia"/>
          <w:color w:val="auto"/>
          <w:highlight w:val="none"/>
          <w:lang w:eastAsia="zh-CN"/>
        </w:rPr>
        <w:t>㎡</w:t>
      </w:r>
      <w:r>
        <w:rPr>
          <w:color w:val="auto"/>
          <w:highlight w:val="none"/>
        </w:rPr>
        <w:t xml:space="preserve"> ，根据水土保持监测现场量测和</w:t>
      </w:r>
      <w:r>
        <w:rPr>
          <w:rFonts w:hint="eastAsia"/>
          <w:color w:val="auto"/>
          <w:highlight w:val="none"/>
          <w:lang w:val="en-US" w:eastAsia="zh-CN"/>
        </w:rPr>
        <w:t>衡阳城市建设投资</w:t>
      </w:r>
      <w:r>
        <w:rPr>
          <w:color w:val="auto"/>
          <w:highlight w:val="none"/>
        </w:rPr>
        <w:t xml:space="preserve">有限公司提供的用地文件等相关资料，本工程实际水土流失防治责任范围为 </w:t>
      </w:r>
      <w:r>
        <w:rPr>
          <w:rFonts w:hint="eastAsia"/>
          <w:color w:val="auto"/>
          <w:highlight w:val="none"/>
          <w:lang w:val="en-US" w:eastAsia="zh-CN"/>
        </w:rPr>
        <w:t>8.49</w:t>
      </w:r>
      <w:r>
        <w:rPr>
          <w:color w:val="auto"/>
          <w:highlight w:val="none"/>
        </w:rPr>
        <w:t>h</w:t>
      </w:r>
      <w:r>
        <w:rPr>
          <w:rFonts w:hint="eastAsia"/>
          <w:color w:val="auto"/>
          <w:highlight w:val="none"/>
          <w:lang w:eastAsia="zh-CN"/>
        </w:rPr>
        <w:t>㎡</w:t>
      </w:r>
      <w:r>
        <w:rPr>
          <w:color w:val="auto"/>
          <w:highlight w:val="none"/>
        </w:rPr>
        <w:t xml:space="preserve"> 。</w:t>
      </w:r>
    </w:p>
    <w:p>
      <w:pPr>
        <w:bidi w:val="0"/>
        <w:rPr>
          <w:color w:val="auto"/>
          <w:highlight w:val="none"/>
        </w:rPr>
      </w:pPr>
      <w:r>
        <w:rPr>
          <w:color w:val="auto"/>
          <w:highlight w:val="none"/>
        </w:rPr>
        <w:t>本工程水土流失防治责任范围监测表见表 3.1-1。</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6"/>
        <w:gridCol w:w="1847"/>
        <w:gridCol w:w="1847"/>
        <w:gridCol w:w="1849"/>
        <w:gridCol w:w="1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序号</w:t>
            </w:r>
          </w:p>
        </w:tc>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项目分区</w:t>
            </w:r>
          </w:p>
        </w:tc>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项目建设区</w:t>
            </w:r>
          </w:p>
        </w:tc>
        <w:tc>
          <w:tcPr>
            <w:tcW w:w="1000"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直接影响区</w:t>
            </w:r>
          </w:p>
        </w:tc>
        <w:tc>
          <w:tcPr>
            <w:tcW w:w="1000"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地下停车场A区</w:t>
            </w:r>
          </w:p>
        </w:tc>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1.45</w:t>
            </w:r>
          </w:p>
        </w:tc>
        <w:tc>
          <w:tcPr>
            <w:tcW w:w="1000"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0.14</w:t>
            </w:r>
          </w:p>
        </w:tc>
        <w:tc>
          <w:tcPr>
            <w:tcW w:w="1000"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w:t>
            </w:r>
          </w:p>
        </w:tc>
        <w:tc>
          <w:tcPr>
            <w:tcW w:w="999"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地下停车场B区</w:t>
            </w:r>
          </w:p>
        </w:tc>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1.07</w:t>
            </w:r>
          </w:p>
        </w:tc>
        <w:tc>
          <w:tcPr>
            <w:tcW w:w="1000"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0.10</w:t>
            </w:r>
          </w:p>
        </w:tc>
        <w:tc>
          <w:tcPr>
            <w:tcW w:w="1000"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w:t>
            </w:r>
          </w:p>
        </w:tc>
        <w:tc>
          <w:tcPr>
            <w:tcW w:w="999"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地下停车场C区</w:t>
            </w:r>
          </w:p>
        </w:tc>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2.32</w:t>
            </w:r>
          </w:p>
        </w:tc>
        <w:tc>
          <w:tcPr>
            <w:tcW w:w="1000"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0.16</w:t>
            </w:r>
          </w:p>
        </w:tc>
        <w:tc>
          <w:tcPr>
            <w:tcW w:w="1000"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w:t>
            </w:r>
          </w:p>
        </w:tc>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临时堆土区</w:t>
            </w:r>
          </w:p>
        </w:tc>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3.25</w:t>
            </w:r>
          </w:p>
        </w:tc>
        <w:tc>
          <w:tcPr>
            <w:tcW w:w="1000"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00"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合计</w:t>
            </w:r>
          </w:p>
        </w:tc>
        <w:tc>
          <w:tcPr>
            <w:tcW w:w="999"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8.09</w:t>
            </w:r>
          </w:p>
        </w:tc>
        <w:tc>
          <w:tcPr>
            <w:tcW w:w="1000"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0.40</w:t>
            </w:r>
          </w:p>
        </w:tc>
        <w:tc>
          <w:tcPr>
            <w:tcW w:w="1000"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8.49</w:t>
            </w:r>
          </w:p>
        </w:tc>
      </w:tr>
    </w:tbl>
    <w:p>
      <w:pPr>
        <w:bidi w:val="0"/>
        <w:ind w:left="0" w:leftChars="0" w:firstLine="0" w:firstLineChars="0"/>
        <w:rPr>
          <w:color w:val="auto"/>
          <w:highlight w:val="none"/>
        </w:rPr>
      </w:pPr>
      <w:r>
        <w:rPr>
          <w:color w:val="auto"/>
          <w:highlight w:val="none"/>
        </w:rPr>
        <w:t xml:space="preserve">主要变化原因主要如下： </w:t>
      </w:r>
    </w:p>
    <w:p>
      <w:pPr>
        <w:spacing w:line="360" w:lineRule="auto"/>
        <w:rPr>
          <w:color w:val="auto"/>
          <w:highlight w:val="none"/>
        </w:rPr>
      </w:pPr>
      <w:r>
        <w:rPr>
          <w:color w:val="auto"/>
          <w:highlight w:val="none"/>
        </w:rPr>
        <w:t>（1）主体工程区：主体实际施工与前期设计基本一致，未有较大变化，因此，主体工程区占地与方案阶段基本保持一致。</w:t>
      </w:r>
    </w:p>
    <w:p>
      <w:pPr>
        <w:spacing w:line="360" w:lineRule="auto"/>
        <w:rPr>
          <w:color w:val="auto"/>
          <w:highlight w:val="none"/>
        </w:rPr>
      </w:pPr>
      <w:r>
        <w:rPr>
          <w:color w:val="auto"/>
          <w:highlight w:val="none"/>
        </w:rPr>
        <w:t>（2）施工临建区：</w:t>
      </w:r>
      <w:r>
        <w:rPr>
          <w:rFonts w:hint="eastAsia"/>
          <w:color w:val="auto"/>
          <w:highlight w:val="none"/>
          <w:lang w:val="en-US" w:eastAsia="zh-CN"/>
        </w:rPr>
        <w:t>地面已硬化</w:t>
      </w:r>
      <w:r>
        <w:rPr>
          <w:color w:val="auto"/>
          <w:highlight w:val="none"/>
        </w:rPr>
        <w:t xml:space="preserve">。 </w:t>
      </w:r>
    </w:p>
    <w:p>
      <w:pPr>
        <w:spacing w:line="360" w:lineRule="auto"/>
        <w:rPr>
          <w:color w:val="auto"/>
          <w:highlight w:val="none"/>
        </w:rPr>
      </w:pPr>
      <w:r>
        <w:rPr>
          <w:color w:val="auto"/>
          <w:highlight w:val="none"/>
        </w:rPr>
        <w:t>（3）临时堆土区：原水保方案设计临时堆土</w:t>
      </w:r>
      <w:r>
        <w:rPr>
          <w:rFonts w:hint="eastAsia"/>
          <w:color w:val="auto"/>
          <w:highlight w:val="none"/>
          <w:lang w:val="en-US" w:eastAsia="zh-CN"/>
        </w:rPr>
        <w:t>区3.25</w:t>
      </w:r>
      <w:r>
        <w:rPr>
          <w:rFonts w:hint="eastAsia"/>
          <w:color w:val="auto"/>
          <w:highlight w:val="none"/>
          <w:lang w:eastAsia="zh-CN"/>
        </w:rPr>
        <w:t>㎡</w:t>
      </w:r>
      <w:r>
        <w:rPr>
          <w:color w:val="auto"/>
          <w:highlight w:val="none"/>
        </w:rPr>
        <w:t>，实际施工中，临时堆土为</w:t>
      </w:r>
      <w:r>
        <w:rPr>
          <w:rFonts w:hint="eastAsia"/>
          <w:color w:val="auto"/>
          <w:highlight w:val="none"/>
          <w:lang w:val="en-US" w:eastAsia="zh-CN"/>
        </w:rPr>
        <w:t>3.25</w:t>
      </w:r>
      <w:r>
        <w:rPr>
          <w:color w:val="auto"/>
          <w:highlight w:val="none"/>
        </w:rPr>
        <w:t>万</w:t>
      </w:r>
      <w:r>
        <w:rPr>
          <w:rFonts w:hint="eastAsia"/>
          <w:color w:val="auto"/>
          <w:highlight w:val="none"/>
          <w:lang w:eastAsia="zh-CN"/>
        </w:rPr>
        <w:t>㎡</w:t>
      </w:r>
      <w:r>
        <w:rPr>
          <w:color w:val="auto"/>
          <w:highlight w:val="none"/>
        </w:rPr>
        <w:t xml:space="preserve">，平均堆高 3m，未发生重大变化。 </w:t>
      </w:r>
    </w:p>
    <w:p>
      <w:pPr>
        <w:spacing w:line="360" w:lineRule="auto"/>
        <w:rPr>
          <w:color w:val="auto"/>
          <w:highlight w:val="none"/>
        </w:rPr>
      </w:pPr>
      <w:r>
        <w:rPr>
          <w:color w:val="auto"/>
          <w:highlight w:val="none"/>
        </w:rPr>
        <w:t>（4）进场道路区：</w:t>
      </w:r>
      <w:r>
        <w:rPr>
          <w:rFonts w:hint="eastAsia"/>
          <w:color w:val="auto"/>
          <w:highlight w:val="none"/>
          <w:lang w:val="en-US" w:eastAsia="zh-CN"/>
        </w:rPr>
        <w:t>又公路通至项目区，交通发达。</w:t>
      </w:r>
    </w:p>
    <w:p>
      <w:pPr>
        <w:bidi w:val="0"/>
        <w:rPr>
          <w:color w:val="auto"/>
          <w:highlight w:val="none"/>
        </w:rPr>
      </w:pPr>
      <w:r>
        <w:rPr>
          <w:color w:val="auto"/>
          <w:highlight w:val="none"/>
        </w:rPr>
        <w:t>（5）直接影响区：方案设计阶段直接影响区包括主体工程区和进场道路区直接影响区，实际施工过程中，本工程场坪施工由当地政府负责，建设单位只对用地红线范围内厂区土地进行扰动，不存在直接影响区。</w:t>
      </w:r>
    </w:p>
    <w:p>
      <w:pPr>
        <w:pStyle w:val="5"/>
        <w:bidi w:val="0"/>
        <w:rPr>
          <w:color w:val="auto"/>
          <w:highlight w:val="none"/>
        </w:rPr>
      </w:pPr>
      <w:bookmarkStart w:id="16" w:name="_Toc32737"/>
      <w:r>
        <w:rPr>
          <w:color w:val="auto"/>
          <w:highlight w:val="none"/>
        </w:rPr>
        <w:t>3.1.2 建设期扰动土地面积</w:t>
      </w:r>
      <w:bookmarkEnd w:id="16"/>
      <w:r>
        <w:rPr>
          <w:color w:val="auto"/>
          <w:highlight w:val="none"/>
        </w:rPr>
        <w:t xml:space="preserve"> </w:t>
      </w:r>
    </w:p>
    <w:p>
      <w:pPr>
        <w:bidi w:val="0"/>
        <w:rPr>
          <w:color w:val="auto"/>
          <w:highlight w:val="none"/>
        </w:rPr>
      </w:pPr>
      <w:r>
        <w:rPr>
          <w:color w:val="auto"/>
          <w:highlight w:val="none"/>
        </w:rPr>
        <w:t>根据建设单位用地文件，结合施工和监理单位资料，建设期工程实际发生的扰动土地面积</w:t>
      </w:r>
      <w:r>
        <w:rPr>
          <w:rFonts w:hint="eastAsia"/>
          <w:color w:val="auto"/>
          <w:highlight w:val="none"/>
          <w:lang w:val="en-US" w:eastAsia="zh-CN"/>
        </w:rPr>
        <w:t>8.49</w:t>
      </w:r>
      <w:r>
        <w:rPr>
          <w:color w:val="auto"/>
          <w:highlight w:val="none"/>
        </w:rPr>
        <w:t>h</w:t>
      </w:r>
      <w:r>
        <w:rPr>
          <w:rFonts w:hint="eastAsia"/>
          <w:color w:val="auto"/>
          <w:highlight w:val="none"/>
          <w:lang w:eastAsia="zh-CN"/>
        </w:rPr>
        <w:t>㎡</w:t>
      </w:r>
      <w:r>
        <w:rPr>
          <w:color w:val="auto"/>
          <w:highlight w:val="none"/>
        </w:rPr>
        <w:t>。</w:t>
      </w:r>
    </w:p>
    <w:p>
      <w:pPr>
        <w:bidi w:val="0"/>
        <w:rPr>
          <w:rFonts w:hint="default"/>
          <w:color w:val="auto"/>
          <w:highlight w:val="none"/>
          <w:lang w:val="en-US" w:eastAsia="zh-CN"/>
        </w:rPr>
      </w:pPr>
      <w:r>
        <w:rPr>
          <w:color w:val="auto"/>
          <w:highlight w:val="none"/>
        </w:rPr>
        <w:t>根据本项目施工进度，本项目扰动土地面积变化情况如下</w:t>
      </w:r>
      <w:r>
        <w:rPr>
          <w:rFonts w:hint="eastAsia"/>
          <w:color w:val="auto"/>
          <w:highlight w:val="none"/>
        </w:rPr>
        <w:t>表</w:t>
      </w:r>
      <w:r>
        <w:rPr>
          <w:color w:val="auto"/>
          <w:highlight w:val="none"/>
        </w:rPr>
        <w:t>：</w:t>
      </w:r>
      <w:r>
        <w:rPr>
          <w:rFonts w:hint="eastAsia"/>
          <w:color w:val="auto"/>
          <w:highlight w:val="none"/>
          <w:lang w:val="en-US" w:eastAsia="zh-CN"/>
        </w:rPr>
        <w:t>单位h</w:t>
      </w:r>
      <w:r>
        <w:rPr>
          <w:rFonts w:hint="eastAsia"/>
          <w:color w:val="auto"/>
          <w:highlight w:val="none"/>
          <w:lang w:eastAsia="zh-CN"/>
        </w:rPr>
        <w:t>㎡。</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1"/>
        <w:gridCol w:w="999"/>
        <w:gridCol w:w="1065"/>
        <w:gridCol w:w="1065"/>
        <w:gridCol w:w="1065"/>
        <w:gridCol w:w="1065"/>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31" w:type="dxa"/>
            <w:vMerge w:val="restart"/>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分区</w:t>
            </w:r>
          </w:p>
        </w:tc>
        <w:tc>
          <w:tcPr>
            <w:tcW w:w="999" w:type="dxa"/>
            <w:vMerge w:val="restart"/>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占地面积</w:t>
            </w:r>
          </w:p>
        </w:tc>
        <w:tc>
          <w:tcPr>
            <w:tcW w:w="1065" w:type="dxa"/>
            <w:vMerge w:val="restart"/>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扰动面积</w:t>
            </w:r>
          </w:p>
        </w:tc>
        <w:tc>
          <w:tcPr>
            <w:tcW w:w="4261" w:type="dxa"/>
            <w:gridSpan w:val="4"/>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扰动土地治理面积</w:t>
            </w:r>
          </w:p>
        </w:tc>
        <w:tc>
          <w:tcPr>
            <w:tcW w:w="1066" w:type="dxa"/>
            <w:vMerge w:val="restart"/>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扰动土地整治率%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31" w:type="dxa"/>
            <w:vMerge w:val="continue"/>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999" w:type="dxa"/>
            <w:vMerge w:val="continue"/>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vMerge w:val="continue"/>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植物措施</w:t>
            </w:r>
          </w:p>
        </w:tc>
        <w:tc>
          <w:tcPr>
            <w:tcW w:w="1065"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工程措施</w:t>
            </w:r>
          </w:p>
        </w:tc>
        <w:tc>
          <w:tcPr>
            <w:tcW w:w="1065"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建筑物及场地道路硬化面积</w:t>
            </w:r>
          </w:p>
        </w:tc>
        <w:tc>
          <w:tcPr>
            <w:tcW w:w="1066"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小计</w:t>
            </w:r>
          </w:p>
        </w:tc>
        <w:tc>
          <w:tcPr>
            <w:tcW w:w="1066" w:type="dxa"/>
            <w:vMerge w:val="continue"/>
            <w:tcMar>
              <w:top w:w="0" w:type="dxa"/>
              <w:left w:w="0" w:type="dxa"/>
              <w:bottom w:w="0" w:type="dxa"/>
              <w:right w:w="0" w:type="dxa"/>
            </w:tcMar>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主体工程区</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4.84</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4.84</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4.72</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施工临建区</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临时堆土区</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3.25</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3.25</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3.20</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进场道路区</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直接影响区</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0.4</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0.4</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0.38</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总计</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8.49</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8.49</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8.08</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95%</w:t>
            </w:r>
          </w:p>
        </w:tc>
      </w:tr>
    </w:tbl>
    <w:p>
      <w:pPr>
        <w:pStyle w:val="4"/>
        <w:bidi w:val="0"/>
        <w:rPr>
          <w:color w:val="auto"/>
          <w:highlight w:val="none"/>
        </w:rPr>
      </w:pPr>
      <w:bookmarkStart w:id="17" w:name="_Toc4582"/>
      <w:r>
        <w:rPr>
          <w:color w:val="auto"/>
          <w:highlight w:val="none"/>
        </w:rPr>
        <w:t>3.2 取土(石、料)监测结果</w:t>
      </w:r>
      <w:bookmarkEnd w:id="17"/>
      <w:r>
        <w:rPr>
          <w:color w:val="auto"/>
          <w:highlight w:val="none"/>
        </w:rPr>
        <w:t xml:space="preserve"> </w:t>
      </w:r>
    </w:p>
    <w:p>
      <w:pPr>
        <w:spacing w:line="360" w:lineRule="auto"/>
        <w:ind w:firstLine="240" w:firstLineChars="100"/>
        <w:rPr>
          <w:color w:val="auto"/>
          <w:highlight w:val="none"/>
        </w:rPr>
      </w:pPr>
      <w:r>
        <w:rPr>
          <w:color w:val="auto"/>
          <w:highlight w:val="none"/>
        </w:rPr>
        <w:t>1、方案设计取土场情况</w:t>
      </w:r>
    </w:p>
    <w:p>
      <w:pPr>
        <w:bidi w:val="0"/>
        <w:rPr>
          <w:color w:val="auto"/>
          <w:highlight w:val="none"/>
        </w:rPr>
      </w:pPr>
      <w:r>
        <w:rPr>
          <w:color w:val="auto"/>
          <w:highlight w:val="none"/>
        </w:rPr>
        <w:t xml:space="preserve"> 根据衡阳市水利局批复的《</w:t>
      </w:r>
      <w:r>
        <w:rPr>
          <w:rFonts w:hint="eastAsia"/>
          <w:color w:val="auto"/>
          <w:highlight w:val="none"/>
          <w:lang w:val="en-US" w:eastAsia="zh-CN"/>
        </w:rPr>
        <w:t>廻雁峰公园地下停车场</w:t>
      </w:r>
      <w:r>
        <w:rPr>
          <w:color w:val="auto"/>
          <w:highlight w:val="none"/>
        </w:rPr>
        <w:t>项目水土保持方案报告书》，本工程回填土方</w:t>
      </w:r>
      <w:r>
        <w:rPr>
          <w:rFonts w:hint="eastAsia"/>
          <w:color w:val="auto"/>
          <w:highlight w:val="none"/>
          <w:lang w:val="en-US" w:eastAsia="zh-CN"/>
        </w:rPr>
        <w:t>26.66</w:t>
      </w:r>
      <w:r>
        <w:rPr>
          <w:color w:val="auto"/>
          <w:highlight w:val="none"/>
        </w:rPr>
        <w:t xml:space="preserve">万 </w:t>
      </w:r>
      <w:r>
        <w:rPr>
          <w:rFonts w:hint="eastAsia"/>
          <w:color w:val="auto"/>
          <w:highlight w:val="none"/>
          <w:lang w:eastAsia="zh-CN"/>
        </w:rPr>
        <w:t>㎥</w:t>
      </w:r>
      <w:r>
        <w:rPr>
          <w:color w:val="auto"/>
          <w:highlight w:val="none"/>
        </w:rPr>
        <w:t xml:space="preserve"> ，无需单独设置取土场。</w:t>
      </w:r>
    </w:p>
    <w:p>
      <w:pPr>
        <w:bidi w:val="0"/>
        <w:rPr>
          <w:color w:val="auto"/>
          <w:highlight w:val="none"/>
        </w:rPr>
      </w:pPr>
      <w:r>
        <w:rPr>
          <w:color w:val="auto"/>
          <w:highlight w:val="none"/>
        </w:rPr>
        <w:t>2、实际取土情况对本工程土石方监测结果和建设单位与</w:t>
      </w:r>
      <w:r>
        <w:rPr>
          <w:rFonts w:hint="eastAsia"/>
          <w:color w:val="auto"/>
          <w:highlight w:val="none"/>
          <w:lang w:val="en-US" w:eastAsia="zh-CN"/>
        </w:rPr>
        <w:t>衡阳</w:t>
      </w:r>
      <w:r>
        <w:rPr>
          <w:color w:val="auto"/>
          <w:highlight w:val="none"/>
        </w:rPr>
        <w:t>市经济开发区签订的协议表明，工程回填土石方</w:t>
      </w:r>
      <w:r>
        <w:rPr>
          <w:rFonts w:hint="eastAsia"/>
          <w:color w:val="auto"/>
          <w:highlight w:val="none"/>
          <w:lang w:val="en-US" w:eastAsia="zh-CN"/>
        </w:rPr>
        <w:t>26.66</w:t>
      </w:r>
      <w:r>
        <w:rPr>
          <w:color w:val="auto"/>
          <w:highlight w:val="none"/>
        </w:rPr>
        <w:t>万</w:t>
      </w:r>
      <w:r>
        <w:rPr>
          <w:rFonts w:hint="eastAsia"/>
          <w:color w:val="auto"/>
          <w:highlight w:val="none"/>
          <w:lang w:eastAsia="zh-CN"/>
        </w:rPr>
        <w:t>㎥，</w:t>
      </w:r>
      <w:r>
        <w:rPr>
          <w:color w:val="auto"/>
          <w:highlight w:val="none"/>
        </w:rPr>
        <w:t xml:space="preserve">未单独设置取土场。 </w:t>
      </w:r>
    </w:p>
    <w:p>
      <w:pPr>
        <w:pStyle w:val="4"/>
        <w:rPr>
          <w:color w:val="auto"/>
          <w:highlight w:val="none"/>
        </w:rPr>
      </w:pPr>
      <w:bookmarkStart w:id="18" w:name="_Toc13579"/>
      <w:r>
        <w:rPr>
          <w:color w:val="auto"/>
          <w:highlight w:val="none"/>
        </w:rPr>
        <w:t>3.3 弃土(石、渣)监测结果</w:t>
      </w:r>
      <w:bookmarkEnd w:id="18"/>
      <w:r>
        <w:rPr>
          <w:color w:val="auto"/>
          <w:highlight w:val="none"/>
        </w:rPr>
        <w:t xml:space="preserve"> </w:t>
      </w:r>
    </w:p>
    <w:p>
      <w:pPr>
        <w:spacing w:line="360" w:lineRule="auto"/>
        <w:ind w:firstLine="240" w:firstLineChars="100"/>
        <w:rPr>
          <w:color w:val="auto"/>
          <w:highlight w:val="none"/>
        </w:rPr>
      </w:pPr>
      <w:r>
        <w:rPr>
          <w:color w:val="auto"/>
          <w:highlight w:val="none"/>
        </w:rPr>
        <w:t xml:space="preserve">1、方案设计弃渣情况 </w:t>
      </w:r>
    </w:p>
    <w:p>
      <w:pPr>
        <w:bidi w:val="0"/>
        <w:rPr>
          <w:color w:val="auto"/>
          <w:highlight w:val="none"/>
        </w:rPr>
      </w:pPr>
      <w:r>
        <w:rPr>
          <w:color w:val="auto"/>
          <w:highlight w:val="none"/>
        </w:rPr>
        <w:t>根据批复的水土保持方案报告书，本项目</w:t>
      </w:r>
      <w:r>
        <w:rPr>
          <w:rFonts w:hint="eastAsia"/>
          <w:color w:val="auto"/>
          <w:highlight w:val="none"/>
          <w:lang w:val="en-US" w:eastAsia="zh-CN"/>
        </w:rPr>
        <w:t>无弃方，</w:t>
      </w:r>
      <w:r>
        <w:rPr>
          <w:color w:val="auto"/>
          <w:highlight w:val="none"/>
        </w:rPr>
        <w:t>无需设置弃渣永久堆场。</w:t>
      </w:r>
    </w:p>
    <w:p>
      <w:pPr>
        <w:spacing w:line="360" w:lineRule="auto"/>
        <w:ind w:firstLine="240" w:firstLineChars="100"/>
        <w:rPr>
          <w:color w:val="auto"/>
          <w:highlight w:val="none"/>
        </w:rPr>
      </w:pPr>
      <w:r>
        <w:rPr>
          <w:color w:val="auto"/>
          <w:highlight w:val="none"/>
        </w:rPr>
        <w:t xml:space="preserve"> 2、实际弃渣情况 </w:t>
      </w:r>
    </w:p>
    <w:p>
      <w:pPr>
        <w:bidi w:val="0"/>
        <w:rPr>
          <w:color w:val="auto"/>
          <w:highlight w:val="none"/>
        </w:rPr>
      </w:pPr>
      <w:r>
        <w:rPr>
          <w:rFonts w:hint="eastAsia"/>
          <w:color w:val="auto"/>
          <w:highlight w:val="none"/>
        </w:rPr>
        <w:t>根据批复的水土保持方案报告书，本项目</w:t>
      </w:r>
      <w:r>
        <w:rPr>
          <w:rFonts w:hint="eastAsia"/>
          <w:color w:val="auto"/>
          <w:highlight w:val="none"/>
          <w:lang w:val="en-US" w:eastAsia="zh-CN"/>
        </w:rPr>
        <w:t>总</w:t>
      </w:r>
      <w:r>
        <w:rPr>
          <w:rFonts w:hint="eastAsia"/>
          <w:color w:val="auto"/>
          <w:highlight w:val="none"/>
        </w:rPr>
        <w:t>挖方</w:t>
      </w:r>
      <w:r>
        <w:rPr>
          <w:rFonts w:hint="eastAsia"/>
          <w:color w:val="auto"/>
          <w:highlight w:val="none"/>
          <w:lang w:val="en-US" w:eastAsia="zh-CN"/>
        </w:rPr>
        <w:t>量44.54</w:t>
      </w:r>
      <w:r>
        <w:rPr>
          <w:rFonts w:hint="eastAsia"/>
          <w:color w:val="auto"/>
          <w:highlight w:val="none"/>
        </w:rPr>
        <w:t>万</w:t>
      </w:r>
      <w:r>
        <w:rPr>
          <w:rFonts w:hint="eastAsia"/>
          <w:color w:val="auto"/>
          <w:highlight w:val="none"/>
          <w:lang w:eastAsia="zh-CN"/>
        </w:rPr>
        <w:t>㎥，</w:t>
      </w:r>
      <w:r>
        <w:rPr>
          <w:rFonts w:hint="eastAsia"/>
          <w:color w:val="auto"/>
          <w:highlight w:val="none"/>
          <w:lang w:val="en-US" w:eastAsia="zh-CN"/>
        </w:rPr>
        <w:t>总</w:t>
      </w:r>
      <w:r>
        <w:rPr>
          <w:rFonts w:hint="eastAsia"/>
          <w:color w:val="auto"/>
          <w:highlight w:val="none"/>
        </w:rPr>
        <w:t>填</w:t>
      </w:r>
      <w:r>
        <w:rPr>
          <w:rFonts w:hint="eastAsia"/>
          <w:color w:val="auto"/>
          <w:highlight w:val="none"/>
          <w:lang w:val="en-US" w:eastAsia="zh-CN"/>
        </w:rPr>
        <w:t>方量26.66</w:t>
      </w:r>
      <w:r>
        <w:rPr>
          <w:rFonts w:hint="eastAsia"/>
          <w:color w:val="auto"/>
          <w:highlight w:val="none"/>
        </w:rPr>
        <w:t>万</w:t>
      </w:r>
      <w:r>
        <w:rPr>
          <w:rFonts w:hint="eastAsia"/>
          <w:color w:val="auto"/>
          <w:highlight w:val="none"/>
          <w:lang w:eastAsia="zh-CN"/>
        </w:rPr>
        <w:t>㎥，</w:t>
      </w:r>
      <w:r>
        <w:rPr>
          <w:rFonts w:hint="eastAsia"/>
          <w:color w:val="auto"/>
          <w:highlight w:val="none"/>
          <w:lang w:val="en-US" w:eastAsia="zh-CN"/>
        </w:rPr>
        <w:t>余土17.88</w:t>
      </w:r>
      <w:r>
        <w:rPr>
          <w:rFonts w:hint="eastAsia"/>
          <w:color w:val="auto"/>
          <w:highlight w:val="none"/>
        </w:rPr>
        <w:t>万</w:t>
      </w:r>
      <w:r>
        <w:rPr>
          <w:rFonts w:hint="eastAsia"/>
          <w:color w:val="auto"/>
          <w:highlight w:val="none"/>
          <w:lang w:eastAsia="zh-CN"/>
        </w:rPr>
        <w:t>㎥</w:t>
      </w:r>
      <w:r>
        <w:rPr>
          <w:rFonts w:hint="eastAsia"/>
          <w:color w:val="auto"/>
          <w:highlight w:val="none"/>
          <w:lang w:val="en-US" w:eastAsia="zh-CN"/>
        </w:rPr>
        <w:t>用于地上廻雁峰·巷荫岭棚户区改造项目。</w:t>
      </w:r>
      <w:r>
        <w:rPr>
          <w:rFonts w:hint="eastAsia"/>
          <w:color w:val="auto"/>
          <w:highlight w:val="none"/>
        </w:rPr>
        <w:t>无需设置弃渣永久堆场，不构成重大变更。</w:t>
      </w:r>
    </w:p>
    <w:p>
      <w:pPr>
        <w:pStyle w:val="4"/>
        <w:bidi w:val="0"/>
        <w:rPr>
          <w:color w:val="auto"/>
          <w:highlight w:val="none"/>
        </w:rPr>
      </w:pPr>
      <w:bookmarkStart w:id="19" w:name="_Toc26860"/>
      <w:r>
        <w:rPr>
          <w:color w:val="auto"/>
          <w:highlight w:val="none"/>
        </w:rPr>
        <w:t>3.4 土石方流向情况监测结果</w:t>
      </w:r>
      <w:bookmarkEnd w:id="19"/>
      <w:r>
        <w:rPr>
          <w:color w:val="auto"/>
          <w:highlight w:val="none"/>
        </w:rPr>
        <w:t xml:space="preserve"> </w:t>
      </w:r>
    </w:p>
    <w:p>
      <w:pPr>
        <w:bidi w:val="0"/>
        <w:rPr>
          <w:color w:val="auto"/>
          <w:highlight w:val="none"/>
        </w:rPr>
      </w:pPr>
      <w:r>
        <w:rPr>
          <w:color w:val="auto"/>
          <w:highlight w:val="none"/>
        </w:rPr>
        <w:t xml:space="preserve">1、方案设计土石情况 </w:t>
      </w:r>
    </w:p>
    <w:p>
      <w:pPr>
        <w:bidi w:val="0"/>
        <w:rPr>
          <w:rFonts w:hint="default"/>
          <w:color w:val="auto"/>
          <w:highlight w:val="none"/>
          <w:lang w:val="en-US"/>
        </w:rPr>
      </w:pPr>
      <w:r>
        <w:rPr>
          <w:color w:val="auto"/>
          <w:highlight w:val="none"/>
        </w:rPr>
        <w:t>根据批复的水土保持方案报告书，主体工程总开挖量</w:t>
      </w:r>
      <w:r>
        <w:rPr>
          <w:rFonts w:hint="eastAsia"/>
          <w:color w:val="auto"/>
          <w:highlight w:val="none"/>
          <w:lang w:val="en-US" w:eastAsia="zh-CN"/>
        </w:rPr>
        <w:t>44.54</w:t>
      </w:r>
      <w:r>
        <w:rPr>
          <w:color w:val="auto"/>
          <w:highlight w:val="none"/>
        </w:rPr>
        <w:t>万</w:t>
      </w:r>
      <w:r>
        <w:rPr>
          <w:rFonts w:hint="eastAsia"/>
          <w:color w:val="auto"/>
          <w:highlight w:val="none"/>
          <w:lang w:eastAsia="zh-CN"/>
        </w:rPr>
        <w:t>㎥</w:t>
      </w:r>
      <w:r>
        <w:rPr>
          <w:color w:val="auto"/>
          <w:highlight w:val="none"/>
        </w:rPr>
        <w:t xml:space="preserve">，总填方量 </w:t>
      </w:r>
      <w:r>
        <w:rPr>
          <w:rFonts w:hint="eastAsia"/>
          <w:color w:val="auto"/>
          <w:highlight w:val="none"/>
          <w:lang w:val="en-US" w:eastAsia="zh-CN"/>
        </w:rPr>
        <w:t>26.66</w:t>
      </w:r>
      <w:r>
        <w:rPr>
          <w:color w:val="auto"/>
          <w:highlight w:val="none"/>
        </w:rPr>
        <w:t>万</w:t>
      </w:r>
      <w:r>
        <w:rPr>
          <w:rFonts w:hint="eastAsia"/>
          <w:color w:val="auto"/>
          <w:highlight w:val="none"/>
          <w:lang w:eastAsia="zh-CN"/>
        </w:rPr>
        <w:t>㎥</w:t>
      </w:r>
      <w:r>
        <w:rPr>
          <w:color w:val="auto"/>
          <w:highlight w:val="none"/>
        </w:rPr>
        <w:t>，外借土方量</w:t>
      </w:r>
      <w:r>
        <w:rPr>
          <w:rFonts w:hint="eastAsia"/>
          <w:color w:val="auto"/>
          <w:highlight w:val="none"/>
          <w:lang w:val="en-US" w:eastAsia="zh-CN"/>
        </w:rPr>
        <w:t>0</w:t>
      </w:r>
      <w:r>
        <w:rPr>
          <w:color w:val="auto"/>
          <w:highlight w:val="none"/>
        </w:rPr>
        <w:t>万</w:t>
      </w:r>
      <w:r>
        <w:rPr>
          <w:rFonts w:hint="eastAsia"/>
          <w:color w:val="auto"/>
          <w:highlight w:val="none"/>
          <w:lang w:eastAsia="zh-CN"/>
        </w:rPr>
        <w:t>㎥</w:t>
      </w:r>
      <w:r>
        <w:rPr>
          <w:color w:val="auto"/>
          <w:highlight w:val="none"/>
        </w:rPr>
        <w:t xml:space="preserve"> ，</w:t>
      </w:r>
      <w:r>
        <w:rPr>
          <w:rFonts w:hint="eastAsia"/>
          <w:color w:val="auto"/>
          <w:highlight w:val="none"/>
          <w:lang w:val="en-US" w:eastAsia="zh-CN"/>
        </w:rPr>
        <w:t>余土17.88</w:t>
      </w:r>
      <w:r>
        <w:rPr>
          <w:rFonts w:hint="eastAsia"/>
          <w:color w:val="auto"/>
          <w:highlight w:val="none"/>
        </w:rPr>
        <w:t>万</w:t>
      </w:r>
      <w:r>
        <w:rPr>
          <w:rFonts w:hint="eastAsia"/>
          <w:color w:val="auto"/>
          <w:highlight w:val="none"/>
          <w:lang w:eastAsia="zh-CN"/>
        </w:rPr>
        <w:t>㎥</w:t>
      </w:r>
      <w:r>
        <w:rPr>
          <w:rFonts w:hint="eastAsia"/>
          <w:color w:val="auto"/>
          <w:highlight w:val="none"/>
          <w:lang w:val="en-US" w:eastAsia="zh-CN"/>
        </w:rPr>
        <w:t>用于地上廻雁峰·巷荫岭棚户区改造项目，无弃渣。</w:t>
      </w:r>
    </w:p>
    <w:p>
      <w:pPr>
        <w:spacing w:line="360" w:lineRule="auto"/>
        <w:ind w:firstLine="240" w:firstLineChars="100"/>
        <w:rPr>
          <w:color w:val="auto"/>
          <w:highlight w:val="none"/>
        </w:rPr>
      </w:pPr>
      <w:r>
        <w:rPr>
          <w:color w:val="auto"/>
          <w:highlight w:val="none"/>
        </w:rPr>
        <w:t xml:space="preserve"> 2、实际施工土石方情况 </w:t>
      </w:r>
    </w:p>
    <w:p>
      <w:pPr>
        <w:spacing w:line="360" w:lineRule="auto"/>
        <w:ind w:firstLine="240" w:firstLineChars="100"/>
        <w:rPr>
          <w:rFonts w:hint="eastAsia"/>
          <w:color w:val="auto"/>
          <w:highlight w:val="none"/>
          <w:lang w:val="en-US" w:eastAsia="zh-CN"/>
        </w:rPr>
      </w:pPr>
      <w:r>
        <w:rPr>
          <w:color w:val="auto"/>
          <w:highlight w:val="none"/>
        </w:rPr>
        <w:t>根据工程实际建设情况及水土保持监测资料，本工程</w:t>
      </w:r>
      <w:r>
        <w:rPr>
          <w:rFonts w:hint="eastAsia"/>
          <w:color w:val="auto"/>
          <w:highlight w:val="none"/>
          <w:lang w:val="en-US" w:eastAsia="zh-CN"/>
        </w:rPr>
        <w:t>无表土剥离。</w:t>
      </w:r>
    </w:p>
    <w:p>
      <w:pPr>
        <w:pStyle w:val="2"/>
        <w:rPr>
          <w:rFonts w:hint="eastAsia"/>
          <w:b/>
          <w:bCs/>
          <w:color w:val="auto"/>
          <w:highlight w:val="none"/>
          <w:lang w:eastAsia="zh-CN"/>
        </w:rPr>
      </w:pPr>
      <w:r>
        <w:rPr>
          <w:rFonts w:hint="eastAsia"/>
          <w:b/>
          <w:bCs/>
          <w:color w:val="auto"/>
          <w:highlight w:val="none"/>
          <w:lang w:val="en-US" w:eastAsia="zh-CN"/>
        </w:rPr>
        <w:t>表3.4      项目建设区实际土石方流向     单位：万</w:t>
      </w:r>
      <w:r>
        <w:rPr>
          <w:rFonts w:hint="eastAsia"/>
          <w:b/>
          <w:bCs/>
          <w:color w:val="auto"/>
          <w:highlight w:val="none"/>
          <w:lang w:eastAsia="zh-CN"/>
        </w:rPr>
        <w:t>㎥</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703"/>
        <w:gridCol w:w="1704"/>
        <w:gridCol w:w="1704"/>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项目分区</w:t>
            </w:r>
          </w:p>
        </w:tc>
        <w:tc>
          <w:tcPr>
            <w:tcW w:w="170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挖方</w:t>
            </w:r>
          </w:p>
        </w:tc>
        <w:tc>
          <w:tcPr>
            <w:tcW w:w="170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填方</w:t>
            </w:r>
          </w:p>
        </w:tc>
        <w:tc>
          <w:tcPr>
            <w:tcW w:w="170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余方</w:t>
            </w:r>
          </w:p>
        </w:tc>
        <w:tc>
          <w:tcPr>
            <w:tcW w:w="1704"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棚户区改造项目所需方量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地下停车场A区</w:t>
            </w:r>
          </w:p>
        </w:tc>
        <w:tc>
          <w:tcPr>
            <w:tcW w:w="170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15.26</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7.99</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7.27</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地下停车场B区</w:t>
            </w:r>
          </w:p>
        </w:tc>
        <w:tc>
          <w:tcPr>
            <w:tcW w:w="170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6.44</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5.93</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0.51</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地下停车场C区</w:t>
            </w:r>
          </w:p>
        </w:tc>
        <w:tc>
          <w:tcPr>
            <w:tcW w:w="170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22.84</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12.74</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10.10</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临时堆土区</w:t>
            </w:r>
          </w:p>
        </w:tc>
        <w:tc>
          <w:tcPr>
            <w:tcW w:w="170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3" w:type="dxa"/>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合计</w:t>
            </w:r>
          </w:p>
        </w:tc>
        <w:tc>
          <w:tcPr>
            <w:tcW w:w="1703" w:type="dxa"/>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44.54</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26.66</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17.88</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17.88</w:t>
            </w:r>
          </w:p>
        </w:tc>
      </w:tr>
    </w:tbl>
    <w:p>
      <w:pPr>
        <w:pStyle w:val="2"/>
        <w:rPr>
          <w:rFonts w:hint="default"/>
          <w:b/>
          <w:bCs/>
          <w:color w:val="auto"/>
          <w:highlight w:val="none"/>
          <w:lang w:val="en-US" w:eastAsia="zh-CN"/>
        </w:rPr>
        <w:sectPr>
          <w:pgSz w:w="11906" w:h="16838"/>
          <w:pgMar w:top="1440" w:right="1440" w:bottom="1440" w:left="1440" w:header="851" w:footer="992" w:gutter="0"/>
          <w:cols w:space="0" w:num="1"/>
          <w:rtlGutter w:val="0"/>
          <w:docGrid w:type="lines" w:linePitch="312" w:charSpace="0"/>
        </w:sectPr>
      </w:pPr>
    </w:p>
    <w:p>
      <w:pPr>
        <w:pStyle w:val="3"/>
        <w:rPr>
          <w:color w:val="auto"/>
          <w:highlight w:val="none"/>
        </w:rPr>
      </w:pPr>
      <w:bookmarkStart w:id="20" w:name="_Toc14988"/>
      <w:r>
        <w:rPr>
          <w:color w:val="auto"/>
          <w:highlight w:val="none"/>
        </w:rPr>
        <w:t>4 水土流失防治措施监测结果</w:t>
      </w:r>
      <w:bookmarkEnd w:id="20"/>
      <w:r>
        <w:rPr>
          <w:color w:val="auto"/>
          <w:highlight w:val="none"/>
        </w:rPr>
        <w:t xml:space="preserve"> </w:t>
      </w:r>
    </w:p>
    <w:p>
      <w:pPr>
        <w:pStyle w:val="4"/>
        <w:bidi w:val="0"/>
        <w:rPr>
          <w:color w:val="auto"/>
          <w:highlight w:val="none"/>
        </w:rPr>
      </w:pPr>
      <w:bookmarkStart w:id="21" w:name="_Toc28246"/>
      <w:r>
        <w:rPr>
          <w:color w:val="auto"/>
          <w:highlight w:val="none"/>
        </w:rPr>
        <w:t>4.1 工程措施监测结果</w:t>
      </w:r>
      <w:bookmarkEnd w:id="21"/>
      <w:r>
        <w:rPr>
          <w:color w:val="auto"/>
          <w:highlight w:val="none"/>
        </w:rPr>
        <w:t xml:space="preserve"> </w:t>
      </w:r>
    </w:p>
    <w:p>
      <w:pPr>
        <w:pStyle w:val="5"/>
        <w:bidi w:val="0"/>
        <w:rPr>
          <w:color w:val="auto"/>
          <w:highlight w:val="none"/>
        </w:rPr>
      </w:pPr>
      <w:bookmarkStart w:id="22" w:name="_Toc18340"/>
      <w:r>
        <w:rPr>
          <w:color w:val="auto"/>
          <w:highlight w:val="none"/>
        </w:rPr>
        <w:t>4.1.1 工程措施实施情况</w:t>
      </w:r>
      <w:bookmarkEnd w:id="22"/>
      <w:r>
        <w:rPr>
          <w:color w:val="auto"/>
          <w:highlight w:val="none"/>
        </w:rPr>
        <w:t xml:space="preserve"> </w:t>
      </w:r>
    </w:p>
    <w:p>
      <w:pPr>
        <w:spacing w:line="360" w:lineRule="auto"/>
        <w:rPr>
          <w:color w:val="auto"/>
          <w:highlight w:val="none"/>
        </w:rPr>
      </w:pPr>
      <w:r>
        <w:rPr>
          <w:color w:val="auto"/>
          <w:highlight w:val="none"/>
        </w:rPr>
        <w:t>工程措施施工单位为</w:t>
      </w:r>
      <w:r>
        <w:rPr>
          <w:rFonts w:hint="eastAsia"/>
          <w:color w:val="auto"/>
          <w:highlight w:val="none"/>
          <w:lang w:val="en-US" w:eastAsia="zh-CN"/>
        </w:rPr>
        <w:t>湖南北山建设集团股份有限公司</w:t>
      </w:r>
      <w:r>
        <w:rPr>
          <w:color w:val="auto"/>
          <w:highlight w:val="none"/>
        </w:rPr>
        <w:t>。针对主体工程中具有水土保持功能的工程措施在收集设计资料、监理资料的基础上，通过现场巡查为主的方法进行调查监测，本项目一级分区为主体工程区</w:t>
      </w:r>
      <w:r>
        <w:rPr>
          <w:rFonts w:hint="eastAsia"/>
          <w:color w:val="auto"/>
          <w:highlight w:val="none"/>
          <w:lang w:eastAsia="zh-CN"/>
        </w:rPr>
        <w:t>、</w:t>
      </w:r>
      <w:r>
        <w:rPr>
          <w:color w:val="auto"/>
          <w:highlight w:val="none"/>
        </w:rPr>
        <w:t xml:space="preserve">施工临建区、临时堆土区以及进场道路区4个分区，布设了排水管网、砖砌排水明沟和混凝土排水明沟等水土保持工程措施；场区进行了土地平整。 </w:t>
      </w:r>
    </w:p>
    <w:p>
      <w:pPr>
        <w:widowControl/>
        <w:ind w:firstLine="281" w:firstLineChars="100"/>
        <w:jc w:val="left"/>
        <w:rPr>
          <w:rFonts w:ascii="Times New Roman" w:hAnsi="Times New Roman" w:eastAsia="宋体" w:cs="Times New Roman"/>
          <w:color w:val="auto"/>
          <w:kern w:val="0"/>
          <w:highlight w:val="none"/>
        </w:rPr>
      </w:pPr>
      <w:r>
        <w:rPr>
          <w:rStyle w:val="31"/>
          <w:color w:val="auto"/>
          <w:highlight w:val="none"/>
        </w:rPr>
        <w:t>4.1.1.1 主体工程区工程措施</w:t>
      </w:r>
      <w:r>
        <w:rPr>
          <w:rFonts w:ascii="Times New Roman" w:hAnsi="Times New Roman" w:eastAsia="宋体" w:cs="Times New Roman"/>
          <w:color w:val="auto"/>
          <w:kern w:val="0"/>
          <w:highlight w:val="none"/>
        </w:rPr>
        <w:t xml:space="preserve"> </w:t>
      </w:r>
    </w:p>
    <w:p>
      <w:pPr>
        <w:spacing w:line="360" w:lineRule="auto"/>
        <w:ind w:firstLine="480" w:firstLineChars="200"/>
        <w:rPr>
          <w:color w:val="auto"/>
          <w:highlight w:val="none"/>
        </w:rPr>
      </w:pPr>
      <w:r>
        <w:rPr>
          <w:rFonts w:hint="eastAsia"/>
          <w:color w:val="auto"/>
          <w:highlight w:val="none"/>
          <w:lang w:val="en-US" w:eastAsia="zh-CN"/>
        </w:rPr>
        <w:t>C区未开工情况下，</w:t>
      </w:r>
      <w:r>
        <w:rPr>
          <w:color w:val="auto"/>
          <w:highlight w:val="none"/>
        </w:rPr>
        <w:t xml:space="preserve">主体工程区完成措施为：排水管网 </w:t>
      </w:r>
      <w:r>
        <w:rPr>
          <w:rFonts w:hint="eastAsia" w:ascii="Times New Roman" w:hAnsi="Times New Roman"/>
          <w:color w:val="auto"/>
          <w:kern w:val="0"/>
          <w:sz w:val="21"/>
          <w:szCs w:val="21"/>
          <w:highlight w:val="none"/>
          <w:vertAlign w:val="baseline"/>
          <w:lang w:val="en-US" w:eastAsia="zh-CN"/>
        </w:rPr>
        <w:t>8717</w:t>
      </w:r>
      <w:r>
        <w:rPr>
          <w:color w:val="auto"/>
          <w:highlight w:val="none"/>
        </w:rPr>
        <w:t>m，</w:t>
      </w:r>
      <w:r>
        <w:rPr>
          <w:rFonts w:hint="eastAsia"/>
          <w:color w:val="auto"/>
          <w:highlight w:val="none"/>
          <w:lang w:val="en-US" w:eastAsia="zh-CN"/>
        </w:rPr>
        <w:t>临时</w:t>
      </w:r>
      <w:r>
        <w:rPr>
          <w:color w:val="auto"/>
          <w:highlight w:val="none"/>
        </w:rPr>
        <w:t xml:space="preserve">排水明沟 </w:t>
      </w:r>
      <w:r>
        <w:rPr>
          <w:rFonts w:hint="eastAsia" w:ascii="Times New Roman" w:hAnsi="Times New Roman"/>
          <w:color w:val="auto"/>
          <w:kern w:val="0"/>
          <w:sz w:val="21"/>
          <w:szCs w:val="21"/>
          <w:highlight w:val="none"/>
          <w:vertAlign w:val="baseline"/>
          <w:lang w:val="en-US" w:eastAsia="zh-CN"/>
        </w:rPr>
        <w:t>1186</w:t>
      </w:r>
      <w:r>
        <w:rPr>
          <w:color w:val="auto"/>
          <w:highlight w:val="none"/>
        </w:rPr>
        <w:t>m，</w:t>
      </w:r>
      <w:r>
        <w:rPr>
          <w:rFonts w:hint="eastAsia"/>
          <w:color w:val="auto"/>
          <w:highlight w:val="none"/>
          <w:lang w:val="en-US" w:eastAsia="zh-CN"/>
        </w:rPr>
        <w:t>临时沉砂池</w:t>
      </w:r>
      <w:r>
        <w:rPr>
          <w:rFonts w:hint="eastAsia" w:ascii="Times New Roman" w:hAnsi="Times New Roman"/>
          <w:color w:val="auto"/>
          <w:kern w:val="0"/>
          <w:sz w:val="21"/>
          <w:szCs w:val="21"/>
          <w:highlight w:val="none"/>
          <w:vertAlign w:val="baseline"/>
          <w:lang w:val="en-US" w:eastAsia="zh-CN"/>
        </w:rPr>
        <w:t>13</w:t>
      </w:r>
      <w:r>
        <w:rPr>
          <w:rFonts w:hint="eastAsia"/>
          <w:color w:val="auto"/>
          <w:highlight w:val="none"/>
          <w:lang w:val="en-US" w:eastAsia="zh-CN"/>
        </w:rPr>
        <w:t>个，编织袋土拦挡</w:t>
      </w:r>
      <w:r>
        <w:rPr>
          <w:rFonts w:hint="eastAsia" w:ascii="Times New Roman" w:hAnsi="Times New Roman"/>
          <w:color w:val="auto"/>
          <w:kern w:val="0"/>
          <w:sz w:val="21"/>
          <w:szCs w:val="21"/>
          <w:highlight w:val="none"/>
          <w:vertAlign w:val="baseline"/>
          <w:lang w:val="en-US" w:eastAsia="zh-CN"/>
        </w:rPr>
        <w:t>857</w:t>
      </w:r>
      <w:r>
        <w:rPr>
          <w:rFonts w:hint="eastAsia"/>
          <w:color w:val="auto"/>
          <w:highlight w:val="none"/>
          <w:lang w:val="en-US" w:eastAsia="zh-CN"/>
        </w:rPr>
        <w:t>m3，挡土板</w:t>
      </w:r>
      <w:r>
        <w:rPr>
          <w:rFonts w:hint="eastAsia" w:ascii="Times New Roman" w:hAnsi="Times New Roman"/>
          <w:color w:val="auto"/>
          <w:kern w:val="0"/>
          <w:sz w:val="21"/>
          <w:szCs w:val="21"/>
          <w:highlight w:val="none"/>
          <w:vertAlign w:val="baseline"/>
          <w:lang w:val="en-US" w:eastAsia="zh-CN"/>
        </w:rPr>
        <w:t>429</w:t>
      </w:r>
      <w:r>
        <w:rPr>
          <w:rFonts w:hint="eastAsia"/>
          <w:color w:val="auto"/>
          <w:highlight w:val="none"/>
          <w:lang w:val="en-US" w:eastAsia="zh-CN"/>
        </w:rPr>
        <w:t>块，临时覆盖</w:t>
      </w:r>
      <w:r>
        <w:rPr>
          <w:rFonts w:hint="eastAsia" w:ascii="Times New Roman" w:hAnsi="Times New Roman"/>
          <w:color w:val="auto"/>
          <w:kern w:val="0"/>
          <w:sz w:val="21"/>
          <w:szCs w:val="21"/>
          <w:highlight w:val="none"/>
          <w:vertAlign w:val="baseline"/>
          <w:lang w:val="en-US" w:eastAsia="zh-CN"/>
        </w:rPr>
        <w:t>16735</w:t>
      </w:r>
      <w:r>
        <w:rPr>
          <w:rFonts w:hint="eastAsia"/>
          <w:color w:val="auto"/>
          <w:highlight w:val="none"/>
          <w:lang w:val="en-US" w:eastAsia="zh-CN"/>
        </w:rPr>
        <w:t>m2</w:t>
      </w:r>
      <w:r>
        <w:rPr>
          <w:color w:val="auto"/>
          <w:highlight w:val="none"/>
        </w:rPr>
        <w:t xml:space="preserve">。 </w:t>
      </w:r>
    </w:p>
    <w:p>
      <w:pPr>
        <w:spacing w:line="360" w:lineRule="auto"/>
        <w:ind w:left="0" w:leftChars="0" w:firstLine="0" w:firstLineChars="0"/>
        <w:jc w:val="center"/>
        <w:rPr>
          <w:rFonts w:hint="eastAsia"/>
          <w:b/>
          <w:bCs/>
          <w:color w:val="auto"/>
          <w:highlight w:val="none"/>
          <w:lang w:val="en-US" w:eastAsia="zh-CN"/>
        </w:rPr>
      </w:pPr>
      <w:r>
        <w:rPr>
          <w:b/>
          <w:bCs/>
          <w:color w:val="auto"/>
          <w:highlight w:val="none"/>
        </w:rPr>
        <w:t xml:space="preserve">表 4.1.1.1 </w:t>
      </w:r>
      <w:r>
        <w:rPr>
          <w:rFonts w:hint="eastAsia"/>
          <w:b/>
          <w:bCs/>
          <w:color w:val="auto"/>
          <w:highlight w:val="none"/>
          <w:lang w:val="en-US" w:eastAsia="zh-CN"/>
        </w:rPr>
        <w:t xml:space="preserve">   主体工程区水土保持工程措施对比情况表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707"/>
        <w:gridCol w:w="1133"/>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防治分区</w:t>
            </w:r>
          </w:p>
        </w:tc>
        <w:tc>
          <w:tcPr>
            <w:tcW w:w="1707"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措施名称</w:t>
            </w:r>
          </w:p>
        </w:tc>
        <w:tc>
          <w:tcPr>
            <w:tcW w:w="113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单位</w:t>
            </w:r>
          </w:p>
        </w:tc>
        <w:tc>
          <w:tcPr>
            <w:tcW w:w="142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方案设计</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实际完成</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主体工程区</w:t>
            </w:r>
          </w:p>
        </w:tc>
        <w:tc>
          <w:tcPr>
            <w:tcW w:w="1707"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排水管网</w:t>
            </w:r>
          </w:p>
        </w:tc>
        <w:tc>
          <w:tcPr>
            <w:tcW w:w="113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m</w:t>
            </w:r>
          </w:p>
        </w:tc>
        <w:tc>
          <w:tcPr>
            <w:tcW w:w="142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16832</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8717</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1707"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临时排水沟</w:t>
            </w:r>
          </w:p>
        </w:tc>
        <w:tc>
          <w:tcPr>
            <w:tcW w:w="113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m</w:t>
            </w:r>
          </w:p>
        </w:tc>
        <w:tc>
          <w:tcPr>
            <w:tcW w:w="142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2290</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1186</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1707"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临时沉砂池</w:t>
            </w:r>
          </w:p>
        </w:tc>
        <w:tc>
          <w:tcPr>
            <w:tcW w:w="113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个</w:t>
            </w:r>
          </w:p>
        </w:tc>
        <w:tc>
          <w:tcPr>
            <w:tcW w:w="142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24</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13</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1707"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编织袋土拦挡</w:t>
            </w:r>
          </w:p>
        </w:tc>
        <w:tc>
          <w:tcPr>
            <w:tcW w:w="113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m3</w:t>
            </w:r>
          </w:p>
        </w:tc>
        <w:tc>
          <w:tcPr>
            <w:tcW w:w="142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1655</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857</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1707"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挡土板</w:t>
            </w:r>
          </w:p>
        </w:tc>
        <w:tc>
          <w:tcPr>
            <w:tcW w:w="113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块</w:t>
            </w:r>
          </w:p>
        </w:tc>
        <w:tc>
          <w:tcPr>
            <w:tcW w:w="142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828</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429</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1707"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临时覆盖</w:t>
            </w:r>
          </w:p>
        </w:tc>
        <w:tc>
          <w:tcPr>
            <w:tcW w:w="1133"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m2</w:t>
            </w:r>
          </w:p>
        </w:tc>
        <w:tc>
          <w:tcPr>
            <w:tcW w:w="142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32316</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16735</w:t>
            </w:r>
          </w:p>
        </w:tc>
        <w:tc>
          <w:tcPr>
            <w:tcW w:w="142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r>
    </w:tbl>
    <w:p>
      <w:pPr>
        <w:bidi w:val="0"/>
        <w:rPr>
          <w:color w:val="auto"/>
          <w:highlight w:val="none"/>
        </w:rPr>
      </w:pPr>
      <w:r>
        <w:rPr>
          <w:color w:val="auto"/>
          <w:highlight w:val="none"/>
        </w:rPr>
        <w:t>措施发生变化的原因：方案阶段未详细计算主体工程区的详细工程量；而施工时，则是根据现场实际情况逐一布置针对性的措施。</w:t>
      </w:r>
    </w:p>
    <w:p>
      <w:pPr>
        <w:pStyle w:val="4"/>
        <w:rPr>
          <w:rFonts w:hint="eastAsia"/>
          <w:color w:val="auto"/>
          <w:highlight w:val="none"/>
        </w:rPr>
      </w:pPr>
      <w:bookmarkStart w:id="23" w:name="_Toc20904"/>
      <w:r>
        <w:rPr>
          <w:rFonts w:ascii="Times New Roman" w:hAnsi="Times New Roman" w:eastAsia="宋体" w:cs="Times New Roman"/>
          <w:color w:val="auto"/>
          <w:highlight w:val="none"/>
        </w:rPr>
        <w:t xml:space="preserve">4.2 </w:t>
      </w:r>
      <w:r>
        <w:rPr>
          <w:rFonts w:hint="eastAsia"/>
          <w:color w:val="auto"/>
          <w:highlight w:val="none"/>
        </w:rPr>
        <w:t>植物措施监测结果</w:t>
      </w:r>
      <w:bookmarkEnd w:id="23"/>
    </w:p>
    <w:p>
      <w:pPr>
        <w:rPr>
          <w:rFonts w:hint="default" w:eastAsia="仿宋_GB2312"/>
          <w:color w:val="auto"/>
          <w:highlight w:val="none"/>
          <w:lang w:val="en-US" w:eastAsia="zh-CN"/>
        </w:rPr>
      </w:pPr>
      <w:r>
        <w:rPr>
          <w:rFonts w:hint="eastAsia"/>
          <w:color w:val="auto"/>
          <w:highlight w:val="none"/>
          <w:lang w:val="en-US" w:eastAsia="zh-CN"/>
        </w:rPr>
        <w:t>本项目无需植物措施。</w:t>
      </w:r>
    </w:p>
    <w:p>
      <w:pPr>
        <w:pStyle w:val="4"/>
        <w:bidi w:val="0"/>
        <w:rPr>
          <w:color w:val="auto"/>
          <w:highlight w:val="none"/>
        </w:rPr>
      </w:pPr>
      <w:bookmarkStart w:id="24" w:name="_Toc22025"/>
      <w:r>
        <w:rPr>
          <w:color w:val="auto"/>
          <w:highlight w:val="none"/>
        </w:rPr>
        <w:t xml:space="preserve">4.3 </w:t>
      </w:r>
      <w:r>
        <w:rPr>
          <w:rFonts w:hint="eastAsia"/>
          <w:color w:val="auto"/>
          <w:highlight w:val="none"/>
        </w:rPr>
        <w:t>临时防治措施监测结果</w:t>
      </w:r>
      <w:bookmarkEnd w:id="24"/>
    </w:p>
    <w:p>
      <w:pPr>
        <w:pStyle w:val="5"/>
        <w:bidi w:val="0"/>
        <w:rPr>
          <w:color w:val="auto"/>
          <w:highlight w:val="none"/>
        </w:rPr>
      </w:pPr>
      <w:bookmarkStart w:id="25" w:name="_Toc29962"/>
      <w:r>
        <w:rPr>
          <w:color w:val="auto"/>
          <w:highlight w:val="none"/>
        </w:rPr>
        <w:t xml:space="preserve">4.3.1 </w:t>
      </w:r>
      <w:r>
        <w:rPr>
          <w:rFonts w:hint="eastAsia"/>
          <w:color w:val="auto"/>
          <w:highlight w:val="none"/>
        </w:rPr>
        <w:t>临时措施实施情况</w:t>
      </w:r>
      <w:bookmarkEnd w:id="25"/>
    </w:p>
    <w:p>
      <w:pPr>
        <w:widowControl/>
        <w:jc w:val="left"/>
        <w:rPr>
          <w:rFonts w:cs="宋体"/>
          <w:color w:val="auto"/>
          <w:kern w:val="0"/>
          <w:highlight w:val="none"/>
        </w:rPr>
      </w:pPr>
      <w:r>
        <w:rPr>
          <w:rFonts w:hint="eastAsia" w:cs="宋体"/>
          <w:color w:val="auto"/>
          <w:kern w:val="0"/>
          <w:highlight w:val="none"/>
        </w:rPr>
        <w:t>临时措施施工单位为</w:t>
      </w:r>
      <w:r>
        <w:rPr>
          <w:rFonts w:hint="eastAsia"/>
          <w:color w:val="auto"/>
          <w:highlight w:val="none"/>
          <w:lang w:val="en-US" w:eastAsia="zh-CN"/>
        </w:rPr>
        <w:t>湖南北山建设集团股份有限公司</w:t>
      </w:r>
      <w:r>
        <w:rPr>
          <w:rFonts w:hint="eastAsia" w:cs="宋体"/>
          <w:color w:val="auto"/>
          <w:kern w:val="0"/>
          <w:highlight w:val="none"/>
        </w:rPr>
        <w:t>，针对主体工程中具有水土保持功能的临时措施在收集设计资料、监理资料的基础上，通过现场巡查为主的方法进行调查监测，本项目实施的临时措施有采取临时排水沟、土质沉砂池、防护网覆盖、袋装土垒砌、铺洒碎石子等措施。</w:t>
      </w:r>
    </w:p>
    <w:p>
      <w:pPr>
        <w:pStyle w:val="6"/>
        <w:bidi w:val="0"/>
        <w:rPr>
          <w:rFonts w:hint="eastAsia"/>
          <w:color w:val="auto"/>
          <w:highlight w:val="none"/>
          <w:lang w:val="en-US" w:eastAsia="zh-CN"/>
        </w:rPr>
      </w:pPr>
      <w:r>
        <w:rPr>
          <w:rFonts w:hint="eastAsia"/>
          <w:color w:val="auto"/>
          <w:highlight w:val="none"/>
          <w:lang w:val="en-US" w:eastAsia="zh-CN"/>
        </w:rPr>
        <w:t>4.3.1.1主体工程区临时措施</w:t>
      </w:r>
    </w:p>
    <w:p>
      <w:pPr>
        <w:bidi w:val="0"/>
        <w:rPr>
          <w:color w:val="auto"/>
          <w:highlight w:val="none"/>
        </w:rPr>
      </w:pPr>
      <w:r>
        <w:rPr>
          <w:color w:val="auto"/>
          <w:highlight w:val="none"/>
        </w:rPr>
        <w:t xml:space="preserve">主体工程区完成措施为：排水管网 </w:t>
      </w:r>
      <w:r>
        <w:rPr>
          <w:rFonts w:hint="eastAsia"/>
          <w:color w:val="auto"/>
          <w:highlight w:val="none"/>
          <w:lang w:val="en-US" w:eastAsia="zh-CN"/>
        </w:rPr>
        <w:t>8717</w:t>
      </w:r>
      <w:r>
        <w:rPr>
          <w:color w:val="auto"/>
          <w:highlight w:val="none"/>
        </w:rPr>
        <w:t>m，</w:t>
      </w:r>
      <w:r>
        <w:rPr>
          <w:rFonts w:hint="eastAsia"/>
          <w:color w:val="auto"/>
          <w:highlight w:val="none"/>
          <w:lang w:val="en-US" w:eastAsia="zh-CN"/>
        </w:rPr>
        <w:t>临时</w:t>
      </w:r>
      <w:r>
        <w:rPr>
          <w:color w:val="auto"/>
          <w:highlight w:val="none"/>
        </w:rPr>
        <w:t xml:space="preserve">排水明沟 </w:t>
      </w:r>
      <w:r>
        <w:rPr>
          <w:rFonts w:hint="eastAsia"/>
          <w:color w:val="auto"/>
          <w:highlight w:val="none"/>
          <w:lang w:val="en-US" w:eastAsia="zh-CN"/>
        </w:rPr>
        <w:t>1186</w:t>
      </w:r>
      <w:r>
        <w:rPr>
          <w:color w:val="auto"/>
          <w:highlight w:val="none"/>
        </w:rPr>
        <w:t>m，</w:t>
      </w:r>
      <w:r>
        <w:rPr>
          <w:rFonts w:hint="eastAsia"/>
          <w:color w:val="auto"/>
          <w:highlight w:val="none"/>
          <w:lang w:val="en-US" w:eastAsia="zh-CN"/>
        </w:rPr>
        <w:t>临时沉砂池13个，编织袋土拦挡857m3，挡土板429块，临时覆盖16735m2</w:t>
      </w:r>
      <w:r>
        <w:rPr>
          <w:color w:val="auto"/>
          <w:highlight w:val="none"/>
        </w:rPr>
        <w:t>。</w:t>
      </w:r>
      <w:r>
        <w:rPr>
          <w:rFonts w:hint="eastAsia"/>
          <w:color w:val="auto"/>
          <w:highlight w:val="none"/>
        </w:rPr>
        <w:t>本项目采取的临时防护措施见表</w:t>
      </w:r>
      <w:r>
        <w:rPr>
          <w:color w:val="auto"/>
          <w:highlight w:val="none"/>
        </w:rPr>
        <w:t>4.3-1</w:t>
      </w:r>
      <w:r>
        <w:rPr>
          <w:rFonts w:hint="eastAsia"/>
          <w:color w:val="auto"/>
          <w:highlight w:val="none"/>
        </w:rPr>
        <w:t>。</w:t>
      </w:r>
    </w:p>
    <w:p>
      <w:pPr>
        <w:widowControl/>
        <w:jc w:val="left"/>
        <w:rPr>
          <w:color w:val="auto"/>
          <w:highlight w:val="none"/>
        </w:rPr>
      </w:pPr>
      <w:r>
        <w:rPr>
          <w:rFonts w:hint="eastAsia"/>
          <w:b/>
          <w:bCs/>
          <w:color w:val="auto"/>
          <w:highlight w:val="none"/>
          <w:lang w:val="en-US" w:eastAsia="zh-CN"/>
        </w:rPr>
        <w:t>表4.3.1.2施工临建区临时措施</w:t>
      </w:r>
    </w:p>
    <w:p>
      <w:pPr>
        <w:widowControl/>
        <w:jc w:val="left"/>
        <w:rPr>
          <w:rFonts w:cs="宋体"/>
          <w:color w:val="auto"/>
          <w:kern w:val="0"/>
          <w:highlight w:val="none"/>
        </w:rPr>
      </w:pPr>
      <w:r>
        <w:rPr>
          <w:rFonts w:hint="eastAsia" w:cs="宋体"/>
          <w:color w:val="auto"/>
          <w:kern w:val="0"/>
          <w:highlight w:val="none"/>
        </w:rPr>
        <w:t>施工临建区完成临时措施工程量为：表土开挖</w:t>
      </w:r>
      <w:r>
        <w:rPr>
          <w:rFonts w:ascii="Times New Roman" w:hAnsi="Times New Roman" w:eastAsia="宋体" w:cs="Times New Roman"/>
          <w:color w:val="auto"/>
          <w:kern w:val="0"/>
          <w:highlight w:val="none"/>
        </w:rPr>
        <w:t>220</w:t>
      </w:r>
      <w:r>
        <w:rPr>
          <w:rFonts w:hint="eastAsia" w:ascii="Times New Roman" w:hAnsi="Times New Roman" w:eastAsia="宋体" w:cs="Times New Roman"/>
          <w:color w:val="auto"/>
          <w:kern w:val="0"/>
          <w:highlight w:val="none"/>
          <w:lang w:eastAsia="zh-CN"/>
        </w:rPr>
        <w:t>㎥</w:t>
      </w:r>
      <w:r>
        <w:rPr>
          <w:rFonts w:hint="eastAsia" w:cs="宋体"/>
          <w:color w:val="auto"/>
          <w:kern w:val="0"/>
          <w:highlight w:val="none"/>
        </w:rPr>
        <w:t>，表土回填</w:t>
      </w:r>
      <w:r>
        <w:rPr>
          <w:rFonts w:ascii="Times New Roman" w:hAnsi="Times New Roman" w:eastAsia="宋体" w:cs="Times New Roman"/>
          <w:color w:val="auto"/>
          <w:kern w:val="0"/>
          <w:highlight w:val="none"/>
        </w:rPr>
        <w:t>220</w:t>
      </w:r>
      <w:r>
        <w:rPr>
          <w:rFonts w:hint="eastAsia" w:ascii="Times New Roman" w:hAnsi="Times New Roman" w:eastAsia="宋体" w:cs="Times New Roman"/>
          <w:color w:val="auto"/>
          <w:kern w:val="0"/>
          <w:highlight w:val="none"/>
          <w:lang w:eastAsia="zh-CN"/>
        </w:rPr>
        <w:t>㎥</w:t>
      </w:r>
      <w:r>
        <w:rPr>
          <w:rFonts w:hint="eastAsia" w:cs="宋体"/>
          <w:color w:val="auto"/>
          <w:kern w:val="0"/>
          <w:highlight w:val="none"/>
        </w:rPr>
        <w:t>，临时排水沟</w:t>
      </w:r>
      <w:r>
        <w:rPr>
          <w:rFonts w:ascii="Times New Roman" w:hAnsi="Times New Roman" w:eastAsia="宋体" w:cs="Times New Roman"/>
          <w:color w:val="auto"/>
          <w:kern w:val="0"/>
          <w:highlight w:val="none"/>
        </w:rPr>
        <w:t>292m</w:t>
      </w:r>
      <w:r>
        <w:rPr>
          <w:rFonts w:hint="eastAsia" w:cs="宋体"/>
          <w:color w:val="auto"/>
          <w:kern w:val="0"/>
          <w:highlight w:val="none"/>
        </w:rPr>
        <w:t>，临时沉砂池</w:t>
      </w:r>
      <w:r>
        <w:rPr>
          <w:rFonts w:ascii="Times New Roman" w:hAnsi="Times New Roman" w:eastAsia="宋体" w:cs="Times New Roman"/>
          <w:color w:val="auto"/>
          <w:kern w:val="0"/>
          <w:highlight w:val="none"/>
        </w:rPr>
        <w:t>1</w:t>
      </w:r>
      <w:r>
        <w:rPr>
          <w:rFonts w:hint="eastAsia" w:cs="宋体"/>
          <w:color w:val="auto"/>
          <w:kern w:val="0"/>
          <w:highlight w:val="none"/>
        </w:rPr>
        <w:t>个，铺撒碎石子</w:t>
      </w:r>
      <w:r>
        <w:rPr>
          <w:rFonts w:ascii="Times New Roman" w:hAnsi="Times New Roman" w:eastAsia="宋体" w:cs="Times New Roman"/>
          <w:color w:val="auto"/>
          <w:kern w:val="0"/>
          <w:highlight w:val="none"/>
        </w:rPr>
        <w:t>1120</w:t>
      </w:r>
      <w:r>
        <w:rPr>
          <w:rFonts w:hint="eastAsia" w:ascii="Times New Roman" w:hAnsi="Times New Roman" w:eastAsia="宋体" w:cs="Times New Roman"/>
          <w:color w:val="auto"/>
          <w:kern w:val="0"/>
          <w:highlight w:val="none"/>
          <w:lang w:eastAsia="zh-CN"/>
        </w:rPr>
        <w:t>㎡</w:t>
      </w:r>
      <w:r>
        <w:rPr>
          <w:rFonts w:hint="eastAsia" w:cs="宋体"/>
          <w:color w:val="auto"/>
          <w:kern w:val="0"/>
          <w:highlight w:val="none"/>
        </w:rPr>
        <w:t>。下表</w:t>
      </w:r>
    </w:p>
    <w:p>
      <w:pPr>
        <w:widowControl/>
        <w:jc w:val="left"/>
        <w:rPr>
          <w:color w:val="auto"/>
          <w:highlight w:val="none"/>
        </w:rPr>
      </w:pPr>
      <w:r>
        <w:rPr>
          <w:rFonts w:hint="eastAsia"/>
          <w:b/>
          <w:bCs/>
          <w:color w:val="auto"/>
          <w:highlight w:val="none"/>
          <w:lang w:val="en-US" w:eastAsia="zh-CN"/>
        </w:rPr>
        <w:t>表4.3.1.3临时堆土区临时措施</w:t>
      </w:r>
    </w:p>
    <w:p>
      <w:pPr>
        <w:widowControl/>
        <w:jc w:val="left"/>
        <w:rPr>
          <w:rFonts w:cs="宋体"/>
          <w:color w:val="auto"/>
          <w:kern w:val="0"/>
          <w:highlight w:val="none"/>
        </w:rPr>
      </w:pPr>
      <w:r>
        <w:rPr>
          <w:rFonts w:hint="eastAsia" w:cs="宋体"/>
          <w:color w:val="auto"/>
          <w:kern w:val="0"/>
          <w:highlight w:val="none"/>
        </w:rPr>
        <w:t>施工临建区完成临时措施工程量为：表土开挖</w:t>
      </w:r>
      <w:r>
        <w:rPr>
          <w:rFonts w:ascii="Times New Roman" w:hAnsi="Times New Roman" w:eastAsia="宋体" w:cs="Times New Roman"/>
          <w:color w:val="auto"/>
          <w:kern w:val="0"/>
          <w:highlight w:val="none"/>
        </w:rPr>
        <w:t>220</w:t>
      </w:r>
      <w:r>
        <w:rPr>
          <w:rFonts w:hint="eastAsia" w:ascii="Times New Roman" w:hAnsi="Times New Roman" w:eastAsia="宋体" w:cs="Times New Roman"/>
          <w:color w:val="auto"/>
          <w:kern w:val="0"/>
          <w:highlight w:val="none"/>
          <w:lang w:eastAsia="zh-CN"/>
        </w:rPr>
        <w:t>㎥</w:t>
      </w:r>
      <w:r>
        <w:rPr>
          <w:rFonts w:hint="eastAsia" w:cs="宋体"/>
          <w:color w:val="auto"/>
          <w:kern w:val="0"/>
          <w:highlight w:val="none"/>
        </w:rPr>
        <w:t>，表土回填</w:t>
      </w:r>
      <w:r>
        <w:rPr>
          <w:rFonts w:ascii="Times New Roman" w:hAnsi="Times New Roman" w:eastAsia="宋体" w:cs="Times New Roman"/>
          <w:color w:val="auto"/>
          <w:kern w:val="0"/>
          <w:highlight w:val="none"/>
        </w:rPr>
        <w:t>220</w:t>
      </w:r>
      <w:r>
        <w:rPr>
          <w:rFonts w:hint="eastAsia" w:ascii="Times New Roman" w:hAnsi="Times New Roman" w:eastAsia="宋体" w:cs="Times New Roman"/>
          <w:color w:val="auto"/>
          <w:kern w:val="0"/>
          <w:highlight w:val="none"/>
          <w:lang w:eastAsia="zh-CN"/>
        </w:rPr>
        <w:t>㎥</w:t>
      </w:r>
      <w:r>
        <w:rPr>
          <w:rFonts w:hint="eastAsia" w:cs="宋体"/>
          <w:color w:val="auto"/>
          <w:kern w:val="0"/>
          <w:highlight w:val="none"/>
        </w:rPr>
        <w:t>，临时排水沟</w:t>
      </w:r>
      <w:r>
        <w:rPr>
          <w:rFonts w:ascii="Times New Roman" w:hAnsi="Times New Roman" w:eastAsia="宋体" w:cs="Times New Roman"/>
          <w:color w:val="auto"/>
          <w:kern w:val="0"/>
          <w:highlight w:val="none"/>
        </w:rPr>
        <w:t>223m</w:t>
      </w:r>
      <w:r>
        <w:rPr>
          <w:rFonts w:hint="eastAsia" w:cs="宋体"/>
          <w:color w:val="auto"/>
          <w:kern w:val="0"/>
          <w:highlight w:val="none"/>
        </w:rPr>
        <w:t>，临时沉砂池</w:t>
      </w:r>
      <w:r>
        <w:rPr>
          <w:rFonts w:ascii="Times New Roman" w:hAnsi="Times New Roman" w:eastAsia="宋体" w:cs="Times New Roman"/>
          <w:color w:val="auto"/>
          <w:kern w:val="0"/>
          <w:highlight w:val="none"/>
        </w:rPr>
        <w:t>2</w:t>
      </w:r>
      <w:r>
        <w:rPr>
          <w:rFonts w:hint="eastAsia" w:cs="宋体"/>
          <w:color w:val="auto"/>
          <w:kern w:val="0"/>
          <w:highlight w:val="none"/>
        </w:rPr>
        <w:t>个，袋装土拦挡</w:t>
      </w:r>
      <w:r>
        <w:rPr>
          <w:rFonts w:ascii="Times New Roman" w:hAnsi="Times New Roman" w:eastAsia="宋体" w:cs="Times New Roman"/>
          <w:color w:val="auto"/>
          <w:kern w:val="0"/>
          <w:highlight w:val="none"/>
        </w:rPr>
        <w:t>155</w:t>
      </w:r>
      <w:r>
        <w:rPr>
          <w:rFonts w:hint="eastAsia" w:ascii="Times New Roman" w:hAnsi="Times New Roman" w:eastAsia="宋体" w:cs="Times New Roman"/>
          <w:color w:val="auto"/>
          <w:kern w:val="0"/>
          <w:highlight w:val="none"/>
          <w:lang w:eastAsia="zh-CN"/>
        </w:rPr>
        <w:t>㎥</w:t>
      </w:r>
      <w:r>
        <w:rPr>
          <w:rFonts w:hint="eastAsia" w:cs="宋体"/>
          <w:color w:val="auto"/>
          <w:kern w:val="0"/>
          <w:highlight w:val="none"/>
        </w:rPr>
        <w:t>，防尘网覆盖</w:t>
      </w:r>
      <w:r>
        <w:rPr>
          <w:rFonts w:ascii="Times New Roman" w:hAnsi="Times New Roman" w:eastAsia="宋体" w:cs="Times New Roman"/>
          <w:color w:val="auto"/>
          <w:kern w:val="0"/>
          <w:highlight w:val="none"/>
        </w:rPr>
        <w:t>2130</w:t>
      </w:r>
      <w:r>
        <w:rPr>
          <w:rFonts w:hint="eastAsia" w:ascii="Times New Roman" w:hAnsi="Times New Roman" w:eastAsia="宋体" w:cs="Times New Roman"/>
          <w:color w:val="auto"/>
          <w:kern w:val="0"/>
          <w:highlight w:val="none"/>
          <w:lang w:eastAsia="zh-CN"/>
        </w:rPr>
        <w:t>㎡</w:t>
      </w:r>
      <w:r>
        <w:rPr>
          <w:rFonts w:hint="eastAsia" w:cs="宋体"/>
          <w:color w:val="auto"/>
          <w:kern w:val="0"/>
          <w:highlight w:val="none"/>
        </w:rPr>
        <w:t>。下表</w:t>
      </w:r>
    </w:p>
    <w:p>
      <w:pPr>
        <w:widowControl/>
        <w:ind w:firstLine="480"/>
        <w:jc w:val="left"/>
        <w:rPr>
          <w:rFonts w:hint="eastAsia"/>
          <w:b/>
          <w:bCs/>
          <w:color w:val="auto"/>
          <w:highlight w:val="none"/>
          <w:lang w:val="en-US" w:eastAsia="zh-CN"/>
        </w:rPr>
      </w:pPr>
      <w:r>
        <w:rPr>
          <w:rFonts w:hint="eastAsia"/>
          <w:b/>
          <w:bCs/>
          <w:color w:val="auto"/>
          <w:highlight w:val="none"/>
          <w:lang w:val="en-US" w:eastAsia="zh-CN"/>
        </w:rPr>
        <w:t>表4.3.1.4进场道路区临时措施</w:t>
      </w:r>
    </w:p>
    <w:p>
      <w:pPr>
        <w:widowControl/>
        <w:jc w:val="left"/>
        <w:rPr>
          <w:color w:val="auto"/>
          <w:highlight w:val="none"/>
        </w:rPr>
      </w:pPr>
      <w:r>
        <w:rPr>
          <w:rFonts w:hint="eastAsia"/>
          <w:color w:val="auto"/>
          <w:highlight w:val="none"/>
        </w:rPr>
        <w:t>进场道路区完成临时措施工程量为：表土开挖</w:t>
      </w:r>
      <w:r>
        <w:rPr>
          <w:rFonts w:ascii="Times New Roman" w:hAnsi="Times New Roman" w:cs="Times New Roman"/>
          <w:color w:val="auto"/>
          <w:highlight w:val="none"/>
        </w:rPr>
        <w:t>360</w:t>
      </w:r>
      <w:r>
        <w:rPr>
          <w:rFonts w:hint="eastAsia" w:ascii="Times New Roman" w:hAnsi="Times New Roman" w:cs="Times New Roman"/>
          <w:color w:val="auto"/>
          <w:highlight w:val="none"/>
          <w:lang w:eastAsia="zh-CN"/>
        </w:rPr>
        <w:t>㎥</w:t>
      </w:r>
      <w:r>
        <w:rPr>
          <w:rFonts w:hint="eastAsia"/>
          <w:color w:val="auto"/>
          <w:highlight w:val="none"/>
        </w:rPr>
        <w:t>，表土回填</w:t>
      </w:r>
      <w:r>
        <w:rPr>
          <w:rFonts w:ascii="Times New Roman" w:hAnsi="Times New Roman" w:cs="Times New Roman"/>
          <w:color w:val="auto"/>
          <w:highlight w:val="none"/>
        </w:rPr>
        <w:t>360</w:t>
      </w:r>
      <w:r>
        <w:rPr>
          <w:rFonts w:hint="eastAsia" w:ascii="Times New Roman" w:hAnsi="Times New Roman" w:cs="Times New Roman"/>
          <w:color w:val="auto"/>
          <w:highlight w:val="none"/>
          <w:lang w:eastAsia="zh-CN"/>
        </w:rPr>
        <w:t>㎥</w:t>
      </w:r>
      <w:r>
        <w:rPr>
          <w:rFonts w:hint="eastAsia"/>
          <w:color w:val="auto"/>
          <w:highlight w:val="none"/>
        </w:rPr>
        <w:t>，临时排水沟</w:t>
      </w:r>
      <w:r>
        <w:rPr>
          <w:rFonts w:ascii="Times New Roman" w:hAnsi="Times New Roman" w:cs="Times New Roman"/>
          <w:color w:val="auto"/>
          <w:highlight w:val="none"/>
        </w:rPr>
        <w:t>915m</w:t>
      </w:r>
      <w:r>
        <w:rPr>
          <w:rFonts w:hint="eastAsia"/>
          <w:color w:val="auto"/>
          <w:highlight w:val="none"/>
        </w:rPr>
        <w:t>，临时沉砂池</w:t>
      </w:r>
      <w:r>
        <w:rPr>
          <w:rFonts w:ascii="Times New Roman" w:hAnsi="Times New Roman" w:cs="Times New Roman"/>
          <w:color w:val="auto"/>
          <w:highlight w:val="none"/>
        </w:rPr>
        <w:t>2</w:t>
      </w:r>
      <w:r>
        <w:rPr>
          <w:rFonts w:hint="eastAsia"/>
          <w:color w:val="auto"/>
          <w:highlight w:val="none"/>
        </w:rPr>
        <w:t>个。下表</w:t>
      </w:r>
    </w:p>
    <w:p>
      <w:pPr>
        <w:bidi w:val="0"/>
        <w:rPr>
          <w:b/>
          <w:bCs/>
          <w:color w:val="auto"/>
          <w:highlight w:val="none"/>
        </w:rPr>
      </w:pPr>
      <w:r>
        <w:rPr>
          <w:rFonts w:hint="eastAsia"/>
          <w:b/>
          <w:bCs/>
          <w:color w:val="auto"/>
          <w:highlight w:val="none"/>
          <w:lang w:val="en-US" w:eastAsia="zh-CN"/>
        </w:rPr>
        <w:t>表</w:t>
      </w:r>
      <w:r>
        <w:rPr>
          <w:b/>
          <w:bCs/>
          <w:color w:val="auto"/>
          <w:highlight w:val="none"/>
        </w:rPr>
        <w:t>4.3.1.5</w:t>
      </w:r>
      <w:r>
        <w:rPr>
          <w:rFonts w:hint="eastAsia"/>
          <w:b/>
          <w:bCs/>
          <w:color w:val="auto"/>
          <w:highlight w:val="none"/>
        </w:rPr>
        <w:t>实际完成水土保持临时措施汇总及对比</w:t>
      </w:r>
    </w:p>
    <w:p>
      <w:pPr>
        <w:widowControl/>
        <w:jc w:val="left"/>
        <w:rPr>
          <w:rFonts w:hint="eastAsia" w:cs="宋体"/>
          <w:color w:val="auto"/>
          <w:kern w:val="0"/>
          <w:highlight w:val="none"/>
        </w:rPr>
      </w:pPr>
      <w:r>
        <w:rPr>
          <w:rFonts w:hint="eastAsia" w:cs="宋体"/>
          <w:color w:val="auto"/>
          <w:kern w:val="0"/>
          <w:highlight w:val="none"/>
        </w:rPr>
        <w:t>本项目主要完成水土保持临时措施为：</w:t>
      </w:r>
      <w:r>
        <w:rPr>
          <w:color w:val="auto"/>
          <w:highlight w:val="none"/>
        </w:rPr>
        <w:t xml:space="preserve">排水管网 </w:t>
      </w:r>
      <w:r>
        <w:rPr>
          <w:rFonts w:hint="eastAsia"/>
          <w:color w:val="auto"/>
          <w:highlight w:val="none"/>
          <w:lang w:val="en-US" w:eastAsia="zh-CN"/>
        </w:rPr>
        <w:t>8717</w:t>
      </w:r>
      <w:r>
        <w:rPr>
          <w:color w:val="auto"/>
          <w:highlight w:val="none"/>
        </w:rPr>
        <w:t>m，</w:t>
      </w:r>
      <w:r>
        <w:rPr>
          <w:rFonts w:hint="eastAsia"/>
          <w:color w:val="auto"/>
          <w:highlight w:val="none"/>
          <w:lang w:val="en-US" w:eastAsia="zh-CN"/>
        </w:rPr>
        <w:t>临时</w:t>
      </w:r>
      <w:r>
        <w:rPr>
          <w:color w:val="auto"/>
          <w:highlight w:val="none"/>
        </w:rPr>
        <w:t xml:space="preserve">排水明沟 </w:t>
      </w:r>
      <w:r>
        <w:rPr>
          <w:rFonts w:hint="eastAsia"/>
          <w:color w:val="auto"/>
          <w:highlight w:val="none"/>
          <w:lang w:val="en-US" w:eastAsia="zh-CN"/>
        </w:rPr>
        <w:t>1186</w:t>
      </w:r>
      <w:r>
        <w:rPr>
          <w:color w:val="auto"/>
          <w:highlight w:val="none"/>
        </w:rPr>
        <w:t>m，</w:t>
      </w:r>
      <w:r>
        <w:rPr>
          <w:rFonts w:hint="eastAsia"/>
          <w:color w:val="auto"/>
          <w:highlight w:val="none"/>
          <w:lang w:val="en-US" w:eastAsia="zh-CN"/>
        </w:rPr>
        <w:t>临时沉砂池13个，编织袋土拦挡857m3，挡土板429块，临时覆盖16735m2</w:t>
      </w:r>
      <w:r>
        <w:rPr>
          <w:color w:val="auto"/>
          <w:highlight w:val="none"/>
        </w:rPr>
        <w:t>。</w:t>
      </w:r>
    </w:p>
    <w:p>
      <w:pPr>
        <w:widowControl/>
        <w:ind w:firstLine="480"/>
        <w:jc w:val="left"/>
        <w:rPr>
          <w:rFonts w:hint="eastAsia"/>
          <w:b/>
          <w:bCs/>
          <w:color w:val="auto"/>
          <w:highlight w:val="none"/>
          <w:lang w:val="en-US" w:eastAsia="zh-CN"/>
        </w:rPr>
      </w:pPr>
      <w:r>
        <w:rPr>
          <w:rFonts w:hint="eastAsia"/>
          <w:b/>
          <w:bCs/>
          <w:color w:val="auto"/>
          <w:highlight w:val="none"/>
          <w:lang w:val="en-US" w:eastAsia="zh-CN"/>
        </w:rPr>
        <w:t>表4.3.1.5 方案设计水保临时措施与完成工程对比情况表</w:t>
      </w:r>
    </w:p>
    <w:p>
      <w:pPr>
        <w:widowControl/>
        <w:ind w:firstLine="240" w:firstLineChars="100"/>
        <w:jc w:val="left"/>
        <w:rPr>
          <w:rFonts w:cs="宋体"/>
          <w:color w:val="auto"/>
          <w:kern w:val="0"/>
          <w:highlight w:val="none"/>
        </w:rPr>
      </w:pPr>
      <w:r>
        <w:rPr>
          <w:rFonts w:hint="eastAsia" w:cs="宋体"/>
          <w:color w:val="auto"/>
          <w:kern w:val="0"/>
          <w:highlight w:val="none"/>
        </w:rPr>
        <w:t>临时措施的实施受工程进度、施工期气候条件、地形地貌等实际情况影响较大，从表中可以看出，各个分区临时措施变化不大；施工中，新增施工临建区与临时堆土区的表土剥离与回填。</w:t>
      </w:r>
    </w:p>
    <w:p>
      <w:pPr>
        <w:widowControl/>
        <w:ind w:firstLine="240" w:firstLineChars="100"/>
        <w:jc w:val="left"/>
        <w:rPr>
          <w:rFonts w:ascii="宋体" w:hAnsi="宋体" w:eastAsia="宋体" w:cs="宋体"/>
          <w:color w:val="auto"/>
          <w:kern w:val="0"/>
          <w:highlight w:val="none"/>
        </w:rPr>
      </w:pPr>
      <w:r>
        <w:rPr>
          <w:rFonts w:hint="eastAsia"/>
          <w:color w:val="auto"/>
          <w:highlight w:val="none"/>
        </w:rPr>
        <w:t>本工程临时防治措施见照片</w:t>
      </w:r>
      <w:r>
        <w:rPr>
          <w:rFonts w:ascii="Times New Roman" w:hAnsi="Times New Roman" w:cs="Times New Roman"/>
          <w:color w:val="auto"/>
          <w:highlight w:val="none"/>
        </w:rPr>
        <w:t>4.3-1~4.3-4</w:t>
      </w:r>
      <w:r>
        <w:rPr>
          <w:rFonts w:hint="eastAsia"/>
          <w:color w:val="auto"/>
          <w:highlight w:val="none"/>
        </w:rPr>
        <w:t>。</w:t>
      </w:r>
    </w:p>
    <w:p>
      <w:pPr>
        <w:widowControl/>
        <w:ind w:firstLine="300" w:firstLineChars="100"/>
        <w:jc w:val="left"/>
        <w:rPr>
          <w:rFonts w:ascii="黑体" w:hAnsi="黑体" w:eastAsia="黑体"/>
          <w:color w:val="auto"/>
          <w:sz w:val="30"/>
          <w:szCs w:val="30"/>
          <w:highlight w:val="none"/>
        </w:rPr>
      </w:pPr>
      <w:r>
        <w:rPr>
          <w:rFonts w:ascii="Times New Roman" w:hAnsi="Times New Roman" w:cs="Times New Roman"/>
          <w:color w:val="auto"/>
          <w:sz w:val="30"/>
          <w:szCs w:val="30"/>
          <w:highlight w:val="none"/>
        </w:rPr>
        <w:t xml:space="preserve">4.4 </w:t>
      </w:r>
      <w:r>
        <w:rPr>
          <w:rFonts w:hint="eastAsia" w:ascii="黑体" w:hAnsi="黑体" w:eastAsia="黑体"/>
          <w:color w:val="auto"/>
          <w:sz w:val="30"/>
          <w:szCs w:val="30"/>
          <w:highlight w:val="none"/>
        </w:rPr>
        <w:t>水土保持措施防治效果</w:t>
      </w:r>
    </w:p>
    <w:p>
      <w:pPr>
        <w:widowControl/>
        <w:jc w:val="left"/>
        <w:rPr>
          <w:rFonts w:ascii="宋体" w:hAnsi="宋体" w:eastAsia="宋体" w:cs="宋体"/>
          <w:color w:val="auto"/>
          <w:kern w:val="0"/>
          <w:highlight w:val="none"/>
        </w:rPr>
      </w:pPr>
      <w:r>
        <w:rPr>
          <w:rFonts w:ascii="Times New Roman" w:hAnsi="Times New Roman" w:eastAsia="宋体" w:cs="Times New Roman"/>
          <w:color w:val="auto"/>
          <w:kern w:val="0"/>
          <w:highlight w:val="none"/>
        </w:rPr>
        <w:t>1</w:t>
      </w:r>
      <w:r>
        <w:rPr>
          <w:rFonts w:hint="eastAsia" w:cs="宋体"/>
          <w:color w:val="auto"/>
          <w:kern w:val="0"/>
          <w:highlight w:val="none"/>
        </w:rPr>
        <w:t xml:space="preserve">、水土保持工程量 </w:t>
      </w:r>
    </w:p>
    <w:p>
      <w:pPr>
        <w:widowControl/>
        <w:jc w:val="left"/>
        <w:rPr>
          <w:rFonts w:ascii="Times New Roman" w:hAnsi="Times New Roman" w:eastAsia="宋体" w:cs="Times New Roman"/>
          <w:color w:val="auto"/>
          <w:kern w:val="0"/>
          <w:highlight w:val="none"/>
        </w:rPr>
      </w:pPr>
      <w:r>
        <w:rPr>
          <w:rFonts w:hint="eastAsia" w:cs="宋体"/>
          <w:color w:val="auto"/>
          <w:kern w:val="0"/>
          <w:highlight w:val="none"/>
        </w:rPr>
        <w:t>根据监测人员实地量测和施工、监理、建设单位提供的资料，本工程实际完成的工程量详见表</w:t>
      </w:r>
      <w:r>
        <w:rPr>
          <w:rFonts w:ascii="Times New Roman" w:hAnsi="Times New Roman" w:eastAsia="宋体" w:cs="Times New Roman"/>
          <w:color w:val="auto"/>
          <w:kern w:val="0"/>
          <w:highlight w:val="none"/>
        </w:rPr>
        <w:t>4.4-1</w:t>
      </w:r>
    </w:p>
    <w:p>
      <w:pPr>
        <w:widowControl/>
        <w:ind w:left="0" w:leftChars="0" w:firstLine="0" w:firstLineChars="0"/>
        <w:jc w:val="center"/>
        <w:rPr>
          <w:rFonts w:hint="eastAsia"/>
          <w:b/>
          <w:bCs/>
          <w:color w:val="auto"/>
          <w:highlight w:val="none"/>
          <w:lang w:val="en-US" w:eastAsia="zh-CN"/>
        </w:rPr>
      </w:pPr>
      <w:r>
        <w:rPr>
          <w:rFonts w:hint="eastAsia"/>
          <w:b/>
          <w:bCs/>
          <w:color w:val="auto"/>
          <w:highlight w:val="none"/>
          <w:lang w:val="en-US" w:eastAsia="zh-CN"/>
        </w:rPr>
        <w:t>表4.4-1    实际完成的水土保持工程量表</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9"/>
        <w:gridCol w:w="2482"/>
        <w:gridCol w:w="1115"/>
        <w:gridCol w:w="1540"/>
        <w:gridCol w:w="1540"/>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序号</w:t>
            </w:r>
          </w:p>
        </w:tc>
        <w:tc>
          <w:tcPr>
            <w:tcW w:w="134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措施名称</w:t>
            </w:r>
          </w:p>
        </w:tc>
        <w:tc>
          <w:tcPr>
            <w:tcW w:w="60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单位</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方案设计</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实际完成</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134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方形沉砂池</w:t>
            </w:r>
          </w:p>
        </w:tc>
        <w:tc>
          <w:tcPr>
            <w:tcW w:w="60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个</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24</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13</w:t>
            </w:r>
          </w:p>
        </w:tc>
        <w:tc>
          <w:tcPr>
            <w:tcW w:w="833" w:type="pct"/>
            <w:vMerge w:val="restar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 xml:space="preserve">A、B区已竣工验收，C区还未开工。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w:t>
            </w:r>
          </w:p>
        </w:tc>
        <w:tc>
          <w:tcPr>
            <w:tcW w:w="134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复合编织布覆盖</w:t>
            </w:r>
          </w:p>
        </w:tc>
        <w:tc>
          <w:tcPr>
            <w:tcW w:w="60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m2</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32316</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16735</w:t>
            </w:r>
          </w:p>
        </w:tc>
        <w:tc>
          <w:tcPr>
            <w:tcW w:w="833" w:type="pct"/>
            <w:vMerge w:val="continue"/>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w:t>
            </w:r>
          </w:p>
        </w:tc>
        <w:tc>
          <w:tcPr>
            <w:tcW w:w="134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挡土板</w:t>
            </w:r>
          </w:p>
        </w:tc>
        <w:tc>
          <w:tcPr>
            <w:tcW w:w="60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块</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828</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429</w:t>
            </w:r>
          </w:p>
        </w:tc>
        <w:tc>
          <w:tcPr>
            <w:tcW w:w="833" w:type="pct"/>
            <w:vMerge w:val="continue"/>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w:t>
            </w:r>
          </w:p>
        </w:tc>
        <w:tc>
          <w:tcPr>
            <w:tcW w:w="134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袋装土垒砌</w:t>
            </w:r>
          </w:p>
        </w:tc>
        <w:tc>
          <w:tcPr>
            <w:tcW w:w="60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m3</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1655</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857</w:t>
            </w:r>
          </w:p>
        </w:tc>
        <w:tc>
          <w:tcPr>
            <w:tcW w:w="833" w:type="pct"/>
            <w:vMerge w:val="continue"/>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5</w:t>
            </w:r>
          </w:p>
        </w:tc>
        <w:tc>
          <w:tcPr>
            <w:tcW w:w="134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袋装土拆除</w:t>
            </w:r>
          </w:p>
        </w:tc>
        <w:tc>
          <w:tcPr>
            <w:tcW w:w="60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m3</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1655</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857</w:t>
            </w:r>
          </w:p>
        </w:tc>
        <w:tc>
          <w:tcPr>
            <w:tcW w:w="833" w:type="pct"/>
            <w:vMerge w:val="continue"/>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6</w:t>
            </w:r>
          </w:p>
        </w:tc>
        <w:tc>
          <w:tcPr>
            <w:tcW w:w="134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土质排水沟、沉砂池</w:t>
            </w:r>
          </w:p>
        </w:tc>
        <w:tc>
          <w:tcPr>
            <w:tcW w:w="60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m3</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2290</w:t>
            </w: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1186</w:t>
            </w:r>
          </w:p>
        </w:tc>
        <w:tc>
          <w:tcPr>
            <w:tcW w:w="833" w:type="pct"/>
            <w:vMerge w:val="continue"/>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7</w:t>
            </w:r>
          </w:p>
        </w:tc>
        <w:tc>
          <w:tcPr>
            <w:tcW w:w="134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其它临时工程</w:t>
            </w:r>
          </w:p>
        </w:tc>
        <w:tc>
          <w:tcPr>
            <w:tcW w:w="603"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833"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833"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34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合计</w:t>
            </w:r>
          </w:p>
        </w:tc>
        <w:tc>
          <w:tcPr>
            <w:tcW w:w="603"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833"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833" w:type="pct"/>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833" w:type="pct"/>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70.97</w:t>
            </w:r>
          </w:p>
        </w:tc>
      </w:tr>
    </w:tbl>
    <w:p>
      <w:pPr>
        <w:bidi w:val="0"/>
        <w:rPr>
          <w:color w:val="auto"/>
          <w:highlight w:val="none"/>
        </w:rPr>
      </w:pPr>
      <w:r>
        <w:rPr>
          <w:rFonts w:hint="eastAsia"/>
          <w:color w:val="auto"/>
          <w:highlight w:val="none"/>
        </w:rPr>
        <w:t>本项目各项工程措施及植物措施实施完成后，能有效控制工程建设造成的水土流失，保证项目的安全运行，绿化、美化环境，恢复改善工程建设破坏的土地及植被。</w:t>
      </w:r>
    </w:p>
    <w:p>
      <w:pPr>
        <w:widowControl/>
        <w:jc w:val="left"/>
        <w:rPr>
          <w:rFonts w:cs="宋体"/>
          <w:color w:val="auto"/>
          <w:kern w:val="0"/>
          <w:highlight w:val="none"/>
        </w:rPr>
      </w:pPr>
      <w:r>
        <w:rPr>
          <w:rFonts w:hint="eastAsia" w:cs="宋体"/>
          <w:color w:val="auto"/>
          <w:kern w:val="0"/>
          <w:highlight w:val="none"/>
        </w:rPr>
        <w:t>本项目实施过程中以工程措施为先导，结合工程建设拦挡、排水、沉沙等措施，保护坡脚稳定，减少地表径流冲刷，使水土流失有效控制。在水土流失得到有效控制的前提下，通过对新生裸露地表进行土地整治、种植水保林草和绿化等措施，通过以上综合防治体系，达到保护地表、改善生态环境、防治水土流失、发挥植物措施的观赏性和长效性的目的。自建成投产至今运营期间，边坡稳定、排水通畅、植物生长良好。</w:t>
      </w:r>
    </w:p>
    <w:p>
      <w:pPr>
        <w:bidi w:val="0"/>
        <w:rPr>
          <w:color w:val="auto"/>
          <w:highlight w:val="none"/>
        </w:rPr>
        <w:sectPr>
          <w:pgSz w:w="11906" w:h="16838"/>
          <w:pgMar w:top="1440" w:right="1440" w:bottom="1440" w:left="1440" w:header="851" w:footer="992" w:gutter="0"/>
          <w:cols w:space="0" w:num="1"/>
          <w:rtlGutter w:val="0"/>
          <w:docGrid w:type="lines" w:linePitch="312" w:charSpace="0"/>
        </w:sectPr>
      </w:pPr>
      <w:r>
        <w:rPr>
          <w:rFonts w:hint="eastAsia"/>
          <w:color w:val="auto"/>
          <w:highlight w:val="none"/>
        </w:rPr>
        <w:t>监测结果表明，工程建设中，采取了边坡防护、拦挡、排水、绿化等措施，各项水土保持措施的实施有效地防治了水土流失，达到了水土保持方案设计的治理目标和要求。</w:t>
      </w:r>
    </w:p>
    <w:p>
      <w:pPr>
        <w:widowControl/>
        <w:ind w:firstLine="240" w:firstLineChars="100"/>
        <w:jc w:val="left"/>
        <w:rPr>
          <w:rFonts w:cs="宋体"/>
          <w:color w:val="auto"/>
          <w:kern w:val="0"/>
          <w:highlight w:val="none"/>
        </w:rPr>
      </w:pPr>
    </w:p>
    <w:p>
      <w:pPr>
        <w:pStyle w:val="3"/>
        <w:bidi w:val="0"/>
        <w:rPr>
          <w:color w:val="auto"/>
          <w:highlight w:val="none"/>
        </w:rPr>
      </w:pPr>
      <w:bookmarkStart w:id="26" w:name="_Toc6470"/>
      <w:r>
        <w:rPr>
          <w:color w:val="auto"/>
          <w:highlight w:val="none"/>
        </w:rPr>
        <w:t xml:space="preserve">5 </w:t>
      </w:r>
      <w:r>
        <w:rPr>
          <w:rFonts w:hint="eastAsia"/>
          <w:color w:val="auto"/>
          <w:highlight w:val="none"/>
        </w:rPr>
        <w:t>土壤流失情况监测</w:t>
      </w:r>
      <w:bookmarkEnd w:id="26"/>
    </w:p>
    <w:p>
      <w:pPr>
        <w:pStyle w:val="4"/>
        <w:bidi w:val="0"/>
        <w:rPr>
          <w:color w:val="auto"/>
          <w:highlight w:val="none"/>
        </w:rPr>
      </w:pPr>
      <w:bookmarkStart w:id="27" w:name="_Toc22469"/>
      <w:r>
        <w:rPr>
          <w:color w:val="auto"/>
          <w:highlight w:val="none"/>
        </w:rPr>
        <w:t xml:space="preserve">5.1 </w:t>
      </w:r>
      <w:r>
        <w:rPr>
          <w:rFonts w:hint="eastAsia"/>
          <w:color w:val="auto"/>
          <w:highlight w:val="none"/>
        </w:rPr>
        <w:t>水土流失面积</w:t>
      </w:r>
      <w:bookmarkEnd w:id="27"/>
    </w:p>
    <w:p>
      <w:pPr>
        <w:widowControl/>
        <w:jc w:val="left"/>
        <w:rPr>
          <w:rFonts w:hint="eastAsia"/>
          <w:color w:val="auto"/>
          <w:kern w:val="0"/>
          <w:highlight w:val="none"/>
        </w:rPr>
      </w:pPr>
      <w:r>
        <w:rPr>
          <w:rFonts w:hint="eastAsia"/>
          <w:color w:val="auto"/>
          <w:kern w:val="0"/>
          <w:highlight w:val="none"/>
        </w:rPr>
        <w:t xml:space="preserve">经监测统计，工程共扰动土地面积 </w:t>
      </w:r>
      <w:r>
        <w:rPr>
          <w:rFonts w:hint="eastAsia" w:ascii="Times New Roman" w:hAnsi="Times New Roman"/>
          <w:color w:val="auto"/>
          <w:kern w:val="0"/>
          <w:highlight w:val="none"/>
          <w:lang w:val="en-US" w:eastAsia="zh-CN"/>
        </w:rPr>
        <w:t>4.84</w:t>
      </w:r>
      <w:r>
        <w:rPr>
          <w:rFonts w:ascii="Times New Roman" w:hAnsi="Times New Roman"/>
          <w:color w:val="auto"/>
          <w:kern w:val="0"/>
          <w:highlight w:val="none"/>
        </w:rPr>
        <w:t>h</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 xml:space="preserve">，建设期水土流失面积为 </w:t>
      </w:r>
    </w:p>
    <w:p>
      <w:pPr>
        <w:widowControl/>
        <w:ind w:left="0" w:leftChars="0" w:firstLine="0" w:firstLineChars="0"/>
        <w:jc w:val="left"/>
        <w:rPr>
          <w:color w:val="auto"/>
          <w:highlight w:val="none"/>
        </w:rPr>
      </w:pPr>
      <w:r>
        <w:rPr>
          <w:rFonts w:hint="eastAsia"/>
          <w:color w:val="auto"/>
          <w:kern w:val="0"/>
          <w:highlight w:val="none"/>
          <w:lang w:val="en-US" w:eastAsia="zh-CN"/>
        </w:rPr>
        <w:t>8.49</w:t>
      </w:r>
      <w:r>
        <w:rPr>
          <w:rFonts w:ascii="Times New Roman" w:hAnsi="Times New Roman"/>
          <w:color w:val="auto"/>
          <w:kern w:val="0"/>
          <w:highlight w:val="none"/>
        </w:rPr>
        <w:t>h</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 xml:space="preserve">。各项工程完建后，建筑物及硬化面积为 </w:t>
      </w:r>
      <w:r>
        <w:rPr>
          <w:rFonts w:hint="eastAsia" w:ascii="Times New Roman" w:hAnsi="Times New Roman"/>
          <w:color w:val="auto"/>
          <w:kern w:val="0"/>
          <w:highlight w:val="none"/>
          <w:lang w:val="en-US" w:eastAsia="zh-CN"/>
        </w:rPr>
        <w:t>4.84</w:t>
      </w:r>
      <w:r>
        <w:rPr>
          <w:rFonts w:ascii="Times New Roman" w:hAnsi="Times New Roman"/>
          <w:color w:val="auto"/>
          <w:kern w:val="0"/>
          <w:highlight w:val="none"/>
        </w:rPr>
        <w:t>h</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 xml:space="preserve">，自然恢复期水土流失面积为 </w:t>
      </w:r>
      <w:r>
        <w:rPr>
          <w:rFonts w:hint="eastAsia" w:ascii="Times New Roman" w:hAnsi="Times New Roman"/>
          <w:color w:val="auto"/>
          <w:kern w:val="0"/>
          <w:highlight w:val="none"/>
          <w:lang w:val="en-US" w:eastAsia="zh-CN"/>
        </w:rPr>
        <w:t>3.25</w:t>
      </w:r>
      <w:r>
        <w:rPr>
          <w:rFonts w:ascii="Times New Roman" w:hAnsi="Times New Roman"/>
          <w:color w:val="auto"/>
          <w:kern w:val="0"/>
          <w:highlight w:val="none"/>
        </w:rPr>
        <w:t>h</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 xml:space="preserve">，详见表 </w:t>
      </w:r>
      <w:r>
        <w:rPr>
          <w:rFonts w:ascii="Times New Roman" w:hAnsi="Times New Roman"/>
          <w:color w:val="auto"/>
          <w:kern w:val="0"/>
          <w:highlight w:val="none"/>
        </w:rPr>
        <w:t>5.1-1</w:t>
      </w:r>
      <w:r>
        <w:rPr>
          <w:rFonts w:hint="eastAsia"/>
          <w:color w:val="auto"/>
          <w:kern w:val="0"/>
          <w:highlight w:val="none"/>
        </w:rPr>
        <w:t xml:space="preserve">。 </w:t>
      </w:r>
    </w:p>
    <w:p>
      <w:pPr>
        <w:widowControl/>
        <w:jc w:val="center"/>
        <w:rPr>
          <w:rFonts w:ascii="Times New Roman" w:hAnsi="Times New Roman"/>
          <w:color w:val="auto"/>
          <w:kern w:val="0"/>
          <w:sz w:val="16"/>
          <w:szCs w:val="16"/>
          <w:highlight w:val="none"/>
        </w:rPr>
      </w:pPr>
      <w:r>
        <w:rPr>
          <w:rFonts w:hint="eastAsia"/>
          <w:b/>
          <w:bCs/>
          <w:color w:val="auto"/>
          <w:highlight w:val="none"/>
          <w:lang w:val="en-US" w:eastAsia="zh-CN"/>
        </w:rPr>
        <w:t>表 5.1-1      工程各阶段水土流失面积统计表 单位：h㎡</w:t>
      </w:r>
      <w:r>
        <w:rPr>
          <w:rFonts w:ascii="Times New Roman" w:hAnsi="Times New Roman"/>
          <w:color w:val="auto"/>
          <w:kern w:val="0"/>
          <w:sz w:val="16"/>
          <w:szCs w:val="16"/>
          <w:highlight w:val="none"/>
        </w:rPr>
        <w:t xml:space="preserve">  </w:t>
      </w:r>
    </w:p>
    <w:tbl>
      <w:tblPr>
        <w:tblStyle w:val="22"/>
        <w:tblpPr w:leftFromText="180" w:rightFromText="180" w:vertAnchor="text" w:horzAnchor="page" w:tblpXSpec="center" w:tblpY="474"/>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监测分区</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建设期扰动面积</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建设期水土流失面积</w:t>
            </w: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建筑物及硬化面积</w:t>
            </w: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自然恢复期水土流失面积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地下停车场A区</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1.45</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1.45</w:t>
            </w: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1.45</w:t>
            </w: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地下停车场B区</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1.07</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1.07</w:t>
            </w: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1.07</w:t>
            </w: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地下停车场C区</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2.32</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2.32</w:t>
            </w: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2.32</w:t>
            </w: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临时堆土区</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3.25</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3.25</w:t>
            </w: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合计</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8.09</w:t>
            </w:r>
          </w:p>
        </w:tc>
        <w:tc>
          <w:tcPr>
            <w:tcW w:w="1704"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8.09</w:t>
            </w: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4.84</w:t>
            </w:r>
          </w:p>
        </w:tc>
        <w:tc>
          <w:tcPr>
            <w:tcW w:w="1705"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3.25</w:t>
            </w:r>
          </w:p>
        </w:tc>
      </w:tr>
    </w:tbl>
    <w:p>
      <w:pPr>
        <w:pStyle w:val="4"/>
        <w:bidi w:val="0"/>
        <w:rPr>
          <w:color w:val="auto"/>
          <w:highlight w:val="none"/>
        </w:rPr>
      </w:pPr>
      <w:bookmarkStart w:id="28" w:name="_Toc19937"/>
      <w:r>
        <w:rPr>
          <w:color w:val="auto"/>
          <w:highlight w:val="none"/>
        </w:rPr>
        <w:t xml:space="preserve">5.2 </w:t>
      </w:r>
      <w:r>
        <w:rPr>
          <w:rFonts w:hint="eastAsia"/>
          <w:color w:val="auto"/>
          <w:highlight w:val="none"/>
        </w:rPr>
        <w:t>土壤流失量</w:t>
      </w:r>
      <w:bookmarkEnd w:id="28"/>
      <w:r>
        <w:rPr>
          <w:rFonts w:hint="eastAsia"/>
          <w:color w:val="auto"/>
          <w:highlight w:val="none"/>
        </w:rPr>
        <w:t xml:space="preserve"> </w:t>
      </w:r>
    </w:p>
    <w:p>
      <w:pPr>
        <w:pStyle w:val="5"/>
        <w:bidi w:val="0"/>
        <w:rPr>
          <w:color w:val="auto"/>
          <w:highlight w:val="none"/>
        </w:rPr>
      </w:pPr>
      <w:bookmarkStart w:id="29" w:name="_Toc32057"/>
      <w:r>
        <w:rPr>
          <w:color w:val="auto"/>
          <w:highlight w:val="none"/>
        </w:rPr>
        <w:t xml:space="preserve">5.2.1 </w:t>
      </w:r>
      <w:r>
        <w:rPr>
          <w:rFonts w:hint="eastAsia"/>
          <w:color w:val="auto"/>
          <w:highlight w:val="none"/>
        </w:rPr>
        <w:t>土壤侵蚀模数估测</w:t>
      </w:r>
      <w:bookmarkEnd w:id="29"/>
      <w:r>
        <w:rPr>
          <w:rFonts w:hint="eastAsia"/>
          <w:color w:val="auto"/>
          <w:highlight w:val="none"/>
        </w:rPr>
        <w:t xml:space="preserve"> </w:t>
      </w:r>
    </w:p>
    <w:p>
      <w:pPr>
        <w:widowControl/>
        <w:jc w:val="left"/>
        <w:rPr>
          <w:color w:val="auto"/>
          <w:highlight w:val="none"/>
        </w:rPr>
      </w:pPr>
      <w:r>
        <w:rPr>
          <w:rFonts w:ascii="Times New Roman" w:hAnsi="Times New Roman"/>
          <w:color w:val="auto"/>
          <w:kern w:val="0"/>
          <w:highlight w:val="none"/>
        </w:rPr>
        <w:t>1</w:t>
      </w:r>
      <w:r>
        <w:rPr>
          <w:rFonts w:hint="eastAsia"/>
          <w:color w:val="auto"/>
          <w:kern w:val="0"/>
          <w:highlight w:val="none"/>
        </w:rPr>
        <w:t xml:space="preserve">）施工准备期前（原地貌） </w:t>
      </w:r>
    </w:p>
    <w:p>
      <w:pPr>
        <w:widowControl/>
        <w:jc w:val="left"/>
        <w:rPr>
          <w:color w:val="auto"/>
          <w:highlight w:val="none"/>
        </w:rPr>
      </w:pPr>
      <w:r>
        <w:rPr>
          <w:rFonts w:hint="eastAsia"/>
          <w:color w:val="auto"/>
          <w:kern w:val="0"/>
          <w:highlight w:val="none"/>
        </w:rPr>
        <w:t>项目建设用地已由当地政府进行三通一平，根据现场调查，建设区原地貌侵蚀模数为</w:t>
      </w:r>
      <w:r>
        <w:rPr>
          <w:rFonts w:ascii="Times New Roman" w:hAnsi="Times New Roman"/>
          <w:color w:val="auto"/>
          <w:kern w:val="0"/>
          <w:highlight w:val="none"/>
        </w:rPr>
        <w:t>1</w:t>
      </w:r>
      <w:r>
        <w:rPr>
          <w:rFonts w:hint="eastAsia" w:ascii="Times New Roman" w:hAnsi="Times New Roman"/>
          <w:color w:val="auto"/>
          <w:kern w:val="0"/>
          <w:highlight w:val="none"/>
          <w:lang w:val="en-US" w:eastAsia="zh-CN"/>
        </w:rPr>
        <w:t>2</w:t>
      </w:r>
      <w:r>
        <w:rPr>
          <w:rFonts w:ascii="Times New Roman" w:hAnsi="Times New Roman"/>
          <w:color w:val="auto"/>
          <w:kern w:val="0"/>
          <w:highlight w:val="none"/>
        </w:rPr>
        <w:t>00t/k</w:t>
      </w:r>
      <w:r>
        <w:rPr>
          <w:rFonts w:hint="eastAsia" w:ascii="Times New Roman" w:hAnsi="Times New Roman"/>
          <w:color w:val="auto"/>
          <w:kern w:val="0"/>
          <w:highlight w:val="none"/>
          <w:lang w:eastAsia="zh-CN"/>
        </w:rPr>
        <w:t>㎡</w:t>
      </w:r>
      <w:r>
        <w:rPr>
          <w:rFonts w:hint="eastAsia" w:ascii="仿宋_GB2312" w:hAnsi="仿宋_GB2312" w:eastAsia="仿宋_GB2312" w:cs="仿宋_GB2312"/>
          <w:color w:val="auto"/>
          <w:kern w:val="0"/>
          <w:highlight w:val="none"/>
          <w:lang w:eastAsia="zh-CN"/>
        </w:rPr>
        <w:t>·</w:t>
      </w:r>
      <w:r>
        <w:rPr>
          <w:rFonts w:ascii="Times New Roman" w:hAnsi="Times New Roman"/>
          <w:color w:val="auto"/>
          <w:kern w:val="0"/>
          <w:highlight w:val="none"/>
        </w:rPr>
        <w:t>a</w:t>
      </w:r>
      <w:r>
        <w:rPr>
          <w:rFonts w:hint="eastAsia"/>
          <w:color w:val="auto"/>
          <w:kern w:val="0"/>
          <w:highlight w:val="none"/>
        </w:rPr>
        <w:t xml:space="preserve">。 </w:t>
      </w:r>
    </w:p>
    <w:p>
      <w:pPr>
        <w:widowControl/>
        <w:jc w:val="left"/>
        <w:rPr>
          <w:color w:val="auto"/>
          <w:highlight w:val="none"/>
        </w:rPr>
      </w:pPr>
      <w:r>
        <w:rPr>
          <w:rFonts w:ascii="Times New Roman" w:hAnsi="Times New Roman"/>
          <w:color w:val="auto"/>
          <w:kern w:val="0"/>
          <w:highlight w:val="none"/>
        </w:rPr>
        <w:t>2</w:t>
      </w:r>
      <w:r>
        <w:rPr>
          <w:rFonts w:hint="eastAsia"/>
          <w:color w:val="auto"/>
          <w:kern w:val="0"/>
          <w:highlight w:val="none"/>
        </w:rPr>
        <w:t xml:space="preserve">）施工期（含施工准备期） </w:t>
      </w:r>
    </w:p>
    <w:p>
      <w:pPr>
        <w:widowControl/>
        <w:jc w:val="left"/>
        <w:rPr>
          <w:color w:val="auto"/>
          <w:highlight w:val="none"/>
        </w:rPr>
      </w:pPr>
      <w:r>
        <w:rPr>
          <w:rFonts w:hint="eastAsia"/>
          <w:color w:val="auto"/>
          <w:kern w:val="0"/>
          <w:highlight w:val="none"/>
        </w:rPr>
        <w:t xml:space="preserve">根据工程施工特点，水土流失主要发生在主体工程区、临时堆土区。 </w:t>
      </w:r>
    </w:p>
    <w:p>
      <w:pPr>
        <w:widowControl/>
        <w:jc w:val="left"/>
        <w:rPr>
          <w:color w:val="auto"/>
          <w:highlight w:val="none"/>
        </w:rPr>
      </w:pPr>
      <w:r>
        <w:rPr>
          <w:rFonts w:hint="eastAsia"/>
          <w:color w:val="auto"/>
          <w:kern w:val="0"/>
          <w:highlight w:val="none"/>
        </w:rPr>
        <w:t>本工程施工时段为</w:t>
      </w:r>
      <w:r>
        <w:rPr>
          <w:rFonts w:ascii="Times New Roman" w:hAnsi="Times New Roman"/>
          <w:color w:val="auto"/>
          <w:kern w:val="0"/>
          <w:highlight w:val="none"/>
        </w:rPr>
        <w:t>2018</w:t>
      </w:r>
      <w:r>
        <w:rPr>
          <w:rFonts w:hint="eastAsia"/>
          <w:color w:val="auto"/>
          <w:kern w:val="0"/>
          <w:highlight w:val="none"/>
        </w:rPr>
        <w:t>年</w:t>
      </w:r>
      <w:r>
        <w:rPr>
          <w:rFonts w:hint="eastAsia"/>
          <w:color w:val="auto"/>
          <w:kern w:val="0"/>
          <w:highlight w:val="none"/>
          <w:lang w:val="en-US" w:eastAsia="zh-CN"/>
        </w:rPr>
        <w:t>8</w:t>
      </w:r>
      <w:r>
        <w:rPr>
          <w:rFonts w:hint="eastAsia"/>
          <w:color w:val="auto"/>
          <w:kern w:val="0"/>
          <w:highlight w:val="none"/>
        </w:rPr>
        <w:t>月</w:t>
      </w:r>
      <w:r>
        <w:rPr>
          <w:rFonts w:ascii="Times New Roman" w:hAnsi="Times New Roman"/>
          <w:color w:val="auto"/>
          <w:kern w:val="0"/>
          <w:highlight w:val="none"/>
        </w:rPr>
        <w:t>~20</w:t>
      </w:r>
      <w:r>
        <w:rPr>
          <w:rFonts w:hint="eastAsia"/>
          <w:color w:val="auto"/>
          <w:kern w:val="0"/>
          <w:highlight w:val="none"/>
          <w:lang w:val="en-US" w:eastAsia="zh-CN"/>
        </w:rPr>
        <w:t>20</w:t>
      </w:r>
      <w:r>
        <w:rPr>
          <w:rFonts w:hint="eastAsia"/>
          <w:color w:val="auto"/>
          <w:kern w:val="0"/>
          <w:highlight w:val="none"/>
        </w:rPr>
        <w:t>年</w:t>
      </w:r>
      <w:r>
        <w:rPr>
          <w:rFonts w:ascii="Times New Roman" w:hAnsi="Times New Roman"/>
          <w:color w:val="auto"/>
          <w:kern w:val="0"/>
          <w:highlight w:val="none"/>
        </w:rPr>
        <w:t>6</w:t>
      </w:r>
      <w:r>
        <w:rPr>
          <w:rFonts w:hint="eastAsia"/>
          <w:color w:val="auto"/>
          <w:kern w:val="0"/>
          <w:highlight w:val="none"/>
        </w:rPr>
        <w:t xml:space="preserve">月，建设内容为各建构筑物的地基开挖、填筑、场面硬化、配套工程施工等，各阶段施工扰动后的土壤侵蚀模数取全线整个施工过程的平均值，详见表 </w:t>
      </w:r>
      <w:r>
        <w:rPr>
          <w:rFonts w:ascii="Times New Roman" w:hAnsi="Times New Roman"/>
          <w:color w:val="auto"/>
          <w:kern w:val="0"/>
          <w:highlight w:val="none"/>
        </w:rPr>
        <w:t>5.2-1</w:t>
      </w:r>
      <w:r>
        <w:rPr>
          <w:rFonts w:hint="eastAsia"/>
          <w:color w:val="auto"/>
          <w:kern w:val="0"/>
          <w:highlight w:val="none"/>
        </w:rPr>
        <w:t xml:space="preserve">。 </w:t>
      </w:r>
    </w:p>
    <w:p>
      <w:pPr>
        <w:widowControl/>
        <w:jc w:val="left"/>
        <w:rPr>
          <w:color w:val="auto"/>
          <w:highlight w:val="none"/>
        </w:rPr>
      </w:pPr>
      <w:r>
        <w:rPr>
          <w:rFonts w:ascii="Times New Roman" w:hAnsi="Times New Roman"/>
          <w:color w:val="auto"/>
          <w:kern w:val="0"/>
          <w:highlight w:val="none"/>
        </w:rPr>
        <w:t>3</w:t>
      </w:r>
      <w:r>
        <w:rPr>
          <w:rFonts w:hint="eastAsia"/>
          <w:color w:val="auto"/>
          <w:kern w:val="0"/>
          <w:highlight w:val="none"/>
        </w:rPr>
        <w:t xml:space="preserve">）植被恢复期 </w:t>
      </w:r>
    </w:p>
    <w:p>
      <w:pPr>
        <w:widowControl/>
        <w:jc w:val="left"/>
        <w:rPr>
          <w:color w:val="auto"/>
          <w:highlight w:val="none"/>
        </w:rPr>
      </w:pPr>
      <w:r>
        <w:rPr>
          <w:rFonts w:hint="eastAsia"/>
          <w:color w:val="auto"/>
          <w:kern w:val="0"/>
          <w:highlight w:val="none"/>
        </w:rPr>
        <w:t>施工完成后进入植被恢复期，这时期的水土保持工程措施、植物措施实施进度较 快，植被生长情况良好，植被恢复期侵蚀模数根据监测数据取值，其中进场道路区、施工临建区及临时堆土区取</w:t>
      </w:r>
      <w:r>
        <w:rPr>
          <w:rFonts w:ascii="Times New Roman" w:hAnsi="Times New Roman"/>
          <w:color w:val="auto"/>
          <w:kern w:val="0"/>
          <w:highlight w:val="none"/>
        </w:rPr>
        <w:t>480t/k</w:t>
      </w:r>
      <w:r>
        <w:rPr>
          <w:rFonts w:hint="eastAsia" w:ascii="Times New Roman" w:hAnsi="Times New Roman"/>
          <w:color w:val="auto"/>
          <w:kern w:val="0"/>
          <w:highlight w:val="none"/>
          <w:lang w:eastAsia="zh-CN"/>
        </w:rPr>
        <w:t>㎡</w:t>
      </w:r>
      <w:r>
        <w:rPr>
          <w:rFonts w:hint="eastAsia" w:ascii="仿宋_GB2312" w:hAnsi="仿宋_GB2312" w:eastAsia="仿宋_GB2312" w:cs="仿宋_GB2312"/>
          <w:color w:val="auto"/>
          <w:kern w:val="0"/>
          <w:sz w:val="16"/>
          <w:szCs w:val="16"/>
          <w:highlight w:val="none"/>
        </w:rPr>
        <w:t>·</w:t>
      </w:r>
      <w:r>
        <w:rPr>
          <w:rFonts w:ascii="Times New Roman" w:hAnsi="Times New Roman"/>
          <w:color w:val="auto"/>
          <w:kern w:val="0"/>
          <w:highlight w:val="none"/>
        </w:rPr>
        <w:t>a</w:t>
      </w:r>
      <w:r>
        <w:rPr>
          <w:rFonts w:hint="eastAsia" w:ascii="Times New Roman" w:hAnsi="Times New Roman"/>
          <w:color w:val="auto"/>
          <w:kern w:val="0"/>
          <w:highlight w:val="none"/>
          <w:lang w:eastAsia="zh-CN"/>
        </w:rPr>
        <w:t>，</w:t>
      </w:r>
      <w:r>
        <w:rPr>
          <w:rFonts w:hint="eastAsia"/>
          <w:color w:val="auto"/>
          <w:kern w:val="0"/>
          <w:highlight w:val="none"/>
        </w:rPr>
        <w:t>主体工程区取</w:t>
      </w:r>
      <w:r>
        <w:rPr>
          <w:rFonts w:ascii="Times New Roman" w:hAnsi="Times New Roman"/>
          <w:color w:val="auto"/>
          <w:kern w:val="0"/>
          <w:highlight w:val="none"/>
        </w:rPr>
        <w:t>500t/k</w:t>
      </w:r>
      <w:r>
        <w:rPr>
          <w:rFonts w:hint="eastAsia" w:ascii="Times New Roman" w:hAnsi="Times New Roman"/>
          <w:color w:val="auto"/>
          <w:kern w:val="0"/>
          <w:highlight w:val="none"/>
          <w:lang w:eastAsia="zh-CN"/>
        </w:rPr>
        <w:t>㎡</w:t>
      </w:r>
      <w:r>
        <w:rPr>
          <w:rFonts w:hint="eastAsia" w:ascii="仿宋_GB2312" w:hAnsi="仿宋_GB2312" w:eastAsia="仿宋_GB2312" w:cs="仿宋_GB2312"/>
          <w:color w:val="auto"/>
          <w:kern w:val="0"/>
          <w:highlight w:val="none"/>
          <w:lang w:eastAsia="zh-CN"/>
        </w:rPr>
        <w:t>·</w:t>
      </w:r>
      <w:r>
        <w:rPr>
          <w:rFonts w:ascii="Times New Roman" w:hAnsi="Times New Roman"/>
          <w:color w:val="auto"/>
          <w:kern w:val="0"/>
          <w:highlight w:val="none"/>
        </w:rPr>
        <w:t>a</w:t>
      </w:r>
      <w:r>
        <w:rPr>
          <w:rFonts w:hint="eastAsia"/>
          <w:color w:val="auto"/>
          <w:kern w:val="0"/>
          <w:highlight w:val="none"/>
        </w:rPr>
        <w:t>。</w:t>
      </w:r>
    </w:p>
    <w:p>
      <w:pPr>
        <w:widowControl/>
        <w:jc w:val="center"/>
        <w:rPr>
          <w:rFonts w:ascii="Times New Roman" w:hAnsi="Times New Roman"/>
          <w:color w:val="auto"/>
          <w:kern w:val="0"/>
          <w:highlight w:val="none"/>
        </w:rPr>
      </w:pPr>
      <w:r>
        <w:rPr>
          <w:rFonts w:hint="eastAsia"/>
          <w:color w:val="auto"/>
          <w:kern w:val="0"/>
          <w:highlight w:val="none"/>
        </w:rPr>
        <w:t xml:space="preserve">表 </w:t>
      </w:r>
      <w:r>
        <w:rPr>
          <w:rFonts w:ascii="Times New Roman" w:hAnsi="Times New Roman"/>
          <w:color w:val="auto"/>
          <w:kern w:val="0"/>
          <w:highlight w:val="none"/>
        </w:rPr>
        <w:t xml:space="preserve">5.2.1 </w:t>
      </w:r>
      <w:r>
        <w:rPr>
          <w:rFonts w:hint="eastAsia"/>
          <w:color w:val="auto"/>
          <w:kern w:val="0"/>
          <w:highlight w:val="none"/>
        </w:rPr>
        <w:t>各防治分区土壤侵蚀模数表</w:t>
      </w:r>
      <w:r>
        <w:rPr>
          <w:rFonts w:ascii="Times New Roman" w:hAnsi="Times New Roman"/>
          <w:color w:val="auto"/>
          <w:kern w:val="0"/>
          <w:highlight w:val="none"/>
        </w:rPr>
        <w:t xml:space="preserve"> </w:t>
      </w:r>
      <w:r>
        <w:rPr>
          <w:rFonts w:hint="eastAsia"/>
          <w:color w:val="auto"/>
          <w:kern w:val="0"/>
          <w:highlight w:val="none"/>
        </w:rPr>
        <w:t>单位：</w:t>
      </w:r>
      <w:r>
        <w:rPr>
          <w:rFonts w:ascii="Times New Roman" w:hAnsi="Times New Roman"/>
          <w:color w:val="auto"/>
          <w:kern w:val="0"/>
          <w:highlight w:val="none"/>
        </w:rPr>
        <w:t>t/k</w:t>
      </w:r>
      <w:r>
        <w:rPr>
          <w:rFonts w:hint="eastAsia" w:ascii="Times New Roman" w:hAnsi="Times New Roman"/>
          <w:color w:val="auto"/>
          <w:kern w:val="0"/>
          <w:highlight w:val="none"/>
          <w:lang w:eastAsia="zh-CN"/>
        </w:rPr>
        <w:t>㎡</w:t>
      </w:r>
      <w:r>
        <w:rPr>
          <w:rFonts w:hint="eastAsia" w:ascii="仿宋_GB2312" w:hAnsi="仿宋_GB2312" w:eastAsia="仿宋_GB2312" w:cs="仿宋_GB2312"/>
          <w:color w:val="auto"/>
          <w:kern w:val="0"/>
          <w:highlight w:val="none"/>
          <w:lang w:eastAsia="zh-CN"/>
        </w:rPr>
        <w:t>·</w:t>
      </w:r>
      <w:r>
        <w:rPr>
          <w:rFonts w:ascii="Times New Roman" w:hAnsi="Times New Roman"/>
          <w:color w:val="auto"/>
          <w:kern w:val="0"/>
          <w:highlight w:val="none"/>
        </w:rPr>
        <w:t xml:space="preserve">a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监测分区</w:t>
            </w:r>
          </w:p>
        </w:tc>
        <w:tc>
          <w:tcPr>
            <w:tcW w:w="213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原地貌</w:t>
            </w:r>
          </w:p>
        </w:tc>
        <w:tc>
          <w:tcPr>
            <w:tcW w:w="213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施工期</w:t>
            </w:r>
          </w:p>
        </w:tc>
        <w:tc>
          <w:tcPr>
            <w:tcW w:w="213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自然恢复其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主体工程区</w:t>
            </w:r>
          </w:p>
        </w:tc>
        <w:tc>
          <w:tcPr>
            <w:tcW w:w="213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350</w:t>
            </w:r>
          </w:p>
        </w:tc>
        <w:tc>
          <w:tcPr>
            <w:tcW w:w="213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10000</w:t>
            </w:r>
          </w:p>
        </w:tc>
        <w:tc>
          <w:tcPr>
            <w:tcW w:w="213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临时堆土区</w:t>
            </w:r>
          </w:p>
        </w:tc>
        <w:tc>
          <w:tcPr>
            <w:tcW w:w="2130"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350</w:t>
            </w:r>
          </w:p>
        </w:tc>
        <w:tc>
          <w:tcPr>
            <w:tcW w:w="213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10000</w:t>
            </w:r>
          </w:p>
        </w:tc>
        <w:tc>
          <w:tcPr>
            <w:tcW w:w="2131" w:type="dxa"/>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r>
    </w:tbl>
    <w:p>
      <w:pPr>
        <w:pStyle w:val="5"/>
        <w:bidi w:val="0"/>
        <w:rPr>
          <w:color w:val="auto"/>
          <w:highlight w:val="none"/>
        </w:rPr>
      </w:pPr>
      <w:bookmarkStart w:id="30" w:name="_Toc1758"/>
      <w:r>
        <w:rPr>
          <w:color w:val="auto"/>
          <w:highlight w:val="none"/>
        </w:rPr>
        <w:t xml:space="preserve">5.2.2 </w:t>
      </w:r>
      <w:r>
        <w:rPr>
          <w:rFonts w:hint="eastAsia"/>
          <w:color w:val="auto"/>
          <w:highlight w:val="none"/>
        </w:rPr>
        <w:t>土壤流失量监测结果</w:t>
      </w:r>
      <w:bookmarkEnd w:id="30"/>
      <w:r>
        <w:rPr>
          <w:rFonts w:hint="eastAsia"/>
          <w:color w:val="auto"/>
          <w:highlight w:val="none"/>
        </w:rPr>
        <w:t xml:space="preserve"> </w:t>
      </w:r>
    </w:p>
    <w:p>
      <w:pPr>
        <w:widowControl/>
        <w:jc w:val="left"/>
        <w:rPr>
          <w:rFonts w:hint="eastAsia" w:eastAsia="仿宋_GB2312"/>
          <w:color w:val="auto"/>
          <w:highlight w:val="none"/>
          <w:lang w:val="en-US" w:eastAsia="zh-CN"/>
        </w:rPr>
      </w:pPr>
      <w:r>
        <w:rPr>
          <w:rFonts w:ascii="Times New Roman" w:hAnsi="Times New Roman"/>
          <w:color w:val="auto"/>
          <w:kern w:val="0"/>
          <w:highlight w:val="none"/>
        </w:rPr>
        <w:t>1</w:t>
      </w:r>
      <w:r>
        <w:rPr>
          <w:rFonts w:hint="eastAsia"/>
          <w:color w:val="auto"/>
          <w:kern w:val="0"/>
          <w:highlight w:val="none"/>
        </w:rPr>
        <w:t xml:space="preserve">）施工期土壤流失量 </w:t>
      </w:r>
      <w:r>
        <w:rPr>
          <w:rFonts w:hint="eastAsia"/>
          <w:color w:val="auto"/>
          <w:kern w:val="0"/>
          <w:highlight w:val="none"/>
          <w:lang w:val="en-US" w:eastAsia="zh-CN"/>
        </w:rPr>
        <w:t xml:space="preserve"> </w:t>
      </w:r>
    </w:p>
    <w:p>
      <w:pPr>
        <w:bidi w:val="0"/>
        <w:rPr>
          <w:color w:val="auto"/>
          <w:highlight w:val="none"/>
        </w:rPr>
      </w:pPr>
      <w:r>
        <w:rPr>
          <w:rFonts w:hint="eastAsia"/>
          <w:color w:val="auto"/>
          <w:kern w:val="0"/>
          <w:highlight w:val="none"/>
        </w:rPr>
        <w:t xml:space="preserve">各区域建构筑物从开始建设到逐步建设完成、硬化。根据估测得出本监测时段施工 扰动后水土流失量 </w:t>
      </w:r>
      <w:r>
        <w:rPr>
          <w:rFonts w:ascii="Times New Roman" w:hAnsi="Times New Roman"/>
          <w:color w:val="auto"/>
          <w:kern w:val="0"/>
          <w:highlight w:val="none"/>
        </w:rPr>
        <w:t>546t</w:t>
      </w:r>
      <w:r>
        <w:rPr>
          <w:rFonts w:hint="eastAsia"/>
          <w:color w:val="auto"/>
          <w:kern w:val="0"/>
          <w:highlight w:val="none"/>
        </w:rPr>
        <w:t xml:space="preserve">，新增水土流失量 </w:t>
      </w:r>
      <w:r>
        <w:rPr>
          <w:rFonts w:ascii="Times New Roman" w:hAnsi="Times New Roman"/>
          <w:color w:val="auto"/>
          <w:kern w:val="0"/>
          <w:highlight w:val="none"/>
        </w:rPr>
        <w:t>420t</w:t>
      </w:r>
      <w:r>
        <w:rPr>
          <w:rFonts w:hint="eastAsia"/>
          <w:color w:val="auto"/>
          <w:kern w:val="0"/>
          <w:highlight w:val="none"/>
        </w:rPr>
        <w:t xml:space="preserve">，土壤侵蚀量详见表 </w:t>
      </w:r>
      <w:r>
        <w:rPr>
          <w:rFonts w:ascii="Times New Roman" w:hAnsi="Times New Roman"/>
          <w:color w:val="auto"/>
          <w:kern w:val="0"/>
          <w:highlight w:val="none"/>
        </w:rPr>
        <w:t>5.2-2</w:t>
      </w:r>
      <w:r>
        <w:rPr>
          <w:rFonts w:hint="eastAsia"/>
          <w:color w:val="auto"/>
          <w:kern w:val="0"/>
          <w:highlight w:val="none"/>
        </w:rPr>
        <w:t xml:space="preserve">。 </w:t>
      </w:r>
    </w:p>
    <w:p>
      <w:pPr>
        <w:widowControl/>
        <w:jc w:val="center"/>
        <w:rPr>
          <w:b/>
          <w:bCs/>
          <w:color w:val="auto"/>
          <w:kern w:val="0"/>
          <w:highlight w:val="none"/>
        </w:rPr>
      </w:pPr>
      <w:r>
        <w:rPr>
          <w:rFonts w:hint="eastAsia"/>
          <w:b/>
          <w:bCs/>
          <w:color w:val="auto"/>
          <w:kern w:val="0"/>
          <w:highlight w:val="none"/>
        </w:rPr>
        <w:t xml:space="preserve">表 </w:t>
      </w:r>
      <w:r>
        <w:rPr>
          <w:rFonts w:ascii="Times New Roman" w:hAnsi="Times New Roman"/>
          <w:b/>
          <w:bCs/>
          <w:color w:val="auto"/>
          <w:kern w:val="0"/>
          <w:highlight w:val="none"/>
        </w:rPr>
        <w:t>5.2.2</w:t>
      </w:r>
      <w:r>
        <w:rPr>
          <w:rFonts w:hint="eastAsia" w:ascii="Times New Roman" w:hAnsi="Times New Roman"/>
          <w:b/>
          <w:bCs/>
          <w:color w:val="auto"/>
          <w:kern w:val="0"/>
          <w:highlight w:val="none"/>
          <w:lang w:val="en-US" w:eastAsia="zh-CN"/>
        </w:rPr>
        <w:t xml:space="preserve">    </w:t>
      </w:r>
      <w:r>
        <w:rPr>
          <w:rFonts w:ascii="Times New Roman" w:hAnsi="Times New Roman"/>
          <w:b/>
          <w:bCs/>
          <w:color w:val="auto"/>
          <w:kern w:val="0"/>
          <w:highlight w:val="none"/>
        </w:rPr>
        <w:t xml:space="preserve"> </w:t>
      </w:r>
      <w:r>
        <w:rPr>
          <w:rFonts w:hint="eastAsia"/>
          <w:b/>
          <w:bCs/>
          <w:color w:val="auto"/>
          <w:kern w:val="0"/>
          <w:highlight w:val="none"/>
        </w:rPr>
        <w:t>施工期（建构筑物建设期）土壤侵蚀流失量</w:t>
      </w:r>
    </w:p>
    <w:tbl>
      <w:tblPr>
        <w:tblStyle w:val="22"/>
        <w:tblW w:w="8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53"/>
        <w:gridCol w:w="1223"/>
        <w:gridCol w:w="740"/>
        <w:gridCol w:w="1046"/>
        <w:gridCol w:w="1042"/>
        <w:gridCol w:w="1035"/>
        <w:gridCol w:w="1036"/>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2" w:hRule="atLeast"/>
          <w:jc w:val="center"/>
        </w:trPr>
        <w:tc>
          <w:tcPr>
            <w:tcW w:w="1153"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监测分区</w:t>
            </w:r>
          </w:p>
        </w:tc>
        <w:tc>
          <w:tcPr>
            <w:tcW w:w="1223"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水土流失面积(hm2)</w:t>
            </w:r>
          </w:p>
        </w:tc>
        <w:tc>
          <w:tcPr>
            <w:tcW w:w="740"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时间(a)</w:t>
            </w:r>
          </w:p>
        </w:tc>
        <w:tc>
          <w:tcPr>
            <w:tcW w:w="2088" w:type="dxa"/>
            <w:gridSpan w:val="2"/>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侵蚀模数(t/km2·a)</w:t>
            </w:r>
          </w:p>
        </w:tc>
        <w:tc>
          <w:tcPr>
            <w:tcW w:w="3107" w:type="dxa"/>
            <w:gridSpan w:val="3"/>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水土流失量(t)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3" w:type="dxa"/>
            <w:vMerge w:val="continue"/>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223" w:type="dxa"/>
            <w:vMerge w:val="continue"/>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740" w:type="dxa"/>
            <w:vMerge w:val="continue"/>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46"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原地貌</w:t>
            </w:r>
          </w:p>
        </w:tc>
        <w:tc>
          <w:tcPr>
            <w:tcW w:w="104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扰动后</w:t>
            </w:r>
          </w:p>
        </w:tc>
        <w:tc>
          <w:tcPr>
            <w:tcW w:w="1035"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原地貌</w:t>
            </w:r>
          </w:p>
        </w:tc>
        <w:tc>
          <w:tcPr>
            <w:tcW w:w="1036"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扰动后</w:t>
            </w:r>
          </w:p>
        </w:tc>
        <w:tc>
          <w:tcPr>
            <w:tcW w:w="1036"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主体工程区</w:t>
            </w:r>
          </w:p>
        </w:tc>
        <w:tc>
          <w:tcPr>
            <w:tcW w:w="122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4.84</w:t>
            </w:r>
          </w:p>
        </w:tc>
        <w:tc>
          <w:tcPr>
            <w:tcW w:w="74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1046"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200</w:t>
            </w:r>
          </w:p>
        </w:tc>
        <w:tc>
          <w:tcPr>
            <w:tcW w:w="104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10000</w:t>
            </w:r>
          </w:p>
        </w:tc>
        <w:tc>
          <w:tcPr>
            <w:tcW w:w="1035"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10</w:t>
            </w:r>
          </w:p>
        </w:tc>
        <w:tc>
          <w:tcPr>
            <w:tcW w:w="1036"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484</w:t>
            </w:r>
          </w:p>
        </w:tc>
        <w:tc>
          <w:tcPr>
            <w:tcW w:w="1036"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临时堆土区</w:t>
            </w:r>
          </w:p>
        </w:tc>
        <w:tc>
          <w:tcPr>
            <w:tcW w:w="122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3.25</w:t>
            </w:r>
          </w:p>
        </w:tc>
        <w:tc>
          <w:tcPr>
            <w:tcW w:w="74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1046"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200</w:t>
            </w:r>
          </w:p>
        </w:tc>
        <w:tc>
          <w:tcPr>
            <w:tcW w:w="1042"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10000</w:t>
            </w:r>
          </w:p>
        </w:tc>
        <w:tc>
          <w:tcPr>
            <w:tcW w:w="1035"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55</w:t>
            </w:r>
          </w:p>
        </w:tc>
        <w:tc>
          <w:tcPr>
            <w:tcW w:w="1036"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373</w:t>
            </w:r>
          </w:p>
        </w:tc>
        <w:tc>
          <w:tcPr>
            <w:tcW w:w="1036"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合计</w:t>
            </w:r>
          </w:p>
        </w:tc>
        <w:tc>
          <w:tcPr>
            <w:tcW w:w="1223"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8.49</w:t>
            </w:r>
          </w:p>
        </w:tc>
        <w:tc>
          <w:tcPr>
            <w:tcW w:w="74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1046"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42"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35"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65</w:t>
            </w:r>
          </w:p>
        </w:tc>
        <w:tc>
          <w:tcPr>
            <w:tcW w:w="1036"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857</w:t>
            </w:r>
          </w:p>
        </w:tc>
        <w:tc>
          <w:tcPr>
            <w:tcW w:w="1036"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792</w:t>
            </w:r>
          </w:p>
        </w:tc>
      </w:tr>
    </w:tbl>
    <w:p>
      <w:pPr>
        <w:bidi w:val="0"/>
        <w:rPr>
          <w:rFonts w:hint="eastAsia" w:ascii="Calibri" w:hAnsi="Calibri" w:eastAsia="宋体"/>
          <w:color w:val="auto"/>
          <w:sz w:val="21"/>
          <w:szCs w:val="21"/>
          <w:highlight w:val="none"/>
        </w:rPr>
      </w:pPr>
      <w:r>
        <w:rPr>
          <w:rFonts w:hint="eastAsia"/>
          <w:color w:val="auto"/>
          <w:kern w:val="0"/>
          <w:highlight w:val="none"/>
        </w:rPr>
        <w:t xml:space="preserve"> </w:t>
      </w:r>
      <w:r>
        <w:rPr>
          <w:rFonts w:ascii="Times New Roman" w:hAnsi="Times New Roman"/>
          <w:color w:val="auto"/>
          <w:kern w:val="0"/>
          <w:highlight w:val="none"/>
        </w:rPr>
        <w:t>2</w:t>
      </w:r>
      <w:r>
        <w:rPr>
          <w:rFonts w:hint="eastAsia"/>
          <w:color w:val="auto"/>
          <w:kern w:val="0"/>
          <w:highlight w:val="none"/>
        </w:rPr>
        <w:t xml:space="preserve">）自然恢复期土壤流失量 </w:t>
      </w:r>
    </w:p>
    <w:p>
      <w:pPr>
        <w:widowControl/>
        <w:jc w:val="left"/>
        <w:rPr>
          <w:color w:val="auto"/>
          <w:highlight w:val="none"/>
        </w:rPr>
      </w:pPr>
      <w:r>
        <w:rPr>
          <w:rFonts w:hint="eastAsia"/>
          <w:color w:val="auto"/>
          <w:kern w:val="0"/>
          <w:highlight w:val="none"/>
        </w:rPr>
        <w:t xml:space="preserve">根据监测数据，自然恢复期土壤侵蚀模数均已低于原地貌土壤侵蚀模数，故不计算 自然恢复期土壤流失量。 </w:t>
      </w:r>
    </w:p>
    <w:p>
      <w:pPr>
        <w:widowControl/>
        <w:jc w:val="left"/>
        <w:rPr>
          <w:color w:val="auto"/>
          <w:highlight w:val="none"/>
        </w:rPr>
      </w:pPr>
      <w:r>
        <w:rPr>
          <w:rFonts w:ascii="Times New Roman" w:hAnsi="Times New Roman"/>
          <w:color w:val="auto"/>
          <w:kern w:val="0"/>
          <w:highlight w:val="none"/>
        </w:rPr>
        <w:t>3</w:t>
      </w:r>
      <w:r>
        <w:rPr>
          <w:rFonts w:hint="eastAsia"/>
          <w:color w:val="auto"/>
          <w:kern w:val="0"/>
          <w:highlight w:val="none"/>
        </w:rPr>
        <w:t xml:space="preserve">）本项目监测期土壤侵蚀量 </w:t>
      </w:r>
    </w:p>
    <w:p>
      <w:pPr>
        <w:widowControl/>
        <w:jc w:val="left"/>
        <w:rPr>
          <w:color w:val="auto"/>
          <w:highlight w:val="none"/>
        </w:rPr>
      </w:pPr>
      <w:r>
        <w:rPr>
          <w:rFonts w:hint="eastAsia"/>
          <w:color w:val="auto"/>
          <w:kern w:val="0"/>
          <w:highlight w:val="none"/>
        </w:rPr>
        <w:t xml:space="preserve">综上所述，本项目监测期原地貌流失量 </w:t>
      </w:r>
      <w:r>
        <w:rPr>
          <w:rFonts w:ascii="Times New Roman" w:hAnsi="Times New Roman"/>
          <w:color w:val="auto"/>
          <w:kern w:val="0"/>
          <w:highlight w:val="none"/>
        </w:rPr>
        <w:t>126t</w:t>
      </w:r>
      <w:r>
        <w:rPr>
          <w:rFonts w:hint="eastAsia" w:ascii="宋体" w:hAnsi="宋体"/>
          <w:color w:val="auto"/>
          <w:kern w:val="0"/>
          <w:highlight w:val="none"/>
        </w:rPr>
        <w:t>，</w:t>
      </w:r>
      <w:r>
        <w:rPr>
          <w:rFonts w:hint="eastAsia"/>
          <w:color w:val="auto"/>
          <w:kern w:val="0"/>
          <w:highlight w:val="none"/>
        </w:rPr>
        <w:t xml:space="preserve">施工扰动后水土流失量为 </w:t>
      </w:r>
      <w:r>
        <w:rPr>
          <w:rFonts w:ascii="Times New Roman" w:hAnsi="Times New Roman"/>
          <w:color w:val="auto"/>
          <w:kern w:val="0"/>
          <w:highlight w:val="none"/>
        </w:rPr>
        <w:t>546t</w:t>
      </w:r>
      <w:r>
        <w:rPr>
          <w:rFonts w:hint="eastAsia" w:ascii="宋体" w:hAnsi="宋体"/>
          <w:color w:val="auto"/>
          <w:kern w:val="0"/>
          <w:highlight w:val="none"/>
        </w:rPr>
        <w:t>，</w:t>
      </w:r>
      <w:r>
        <w:rPr>
          <w:rFonts w:hint="eastAsia"/>
          <w:color w:val="auto"/>
          <w:kern w:val="0"/>
          <w:highlight w:val="none"/>
        </w:rPr>
        <w:t xml:space="preserve">新增 水土流失量 </w:t>
      </w:r>
      <w:r>
        <w:rPr>
          <w:rFonts w:ascii="Times New Roman" w:hAnsi="Times New Roman"/>
          <w:color w:val="auto"/>
          <w:kern w:val="0"/>
          <w:highlight w:val="none"/>
        </w:rPr>
        <w:t>420t</w:t>
      </w:r>
      <w:r>
        <w:rPr>
          <w:rFonts w:hint="eastAsia"/>
          <w:color w:val="auto"/>
          <w:kern w:val="0"/>
          <w:highlight w:val="none"/>
        </w:rPr>
        <w:t xml:space="preserve">。 </w:t>
      </w:r>
    </w:p>
    <w:p>
      <w:pPr>
        <w:widowControl/>
        <w:jc w:val="left"/>
        <w:rPr>
          <w:color w:val="auto"/>
          <w:highlight w:val="none"/>
        </w:rPr>
      </w:pPr>
      <w:r>
        <w:rPr>
          <w:rFonts w:ascii="Times New Roman" w:hAnsi="Times New Roman"/>
          <w:color w:val="auto"/>
          <w:kern w:val="0"/>
          <w:sz w:val="30"/>
          <w:szCs w:val="30"/>
          <w:highlight w:val="none"/>
        </w:rPr>
        <w:t xml:space="preserve">5.3 </w:t>
      </w:r>
      <w:r>
        <w:rPr>
          <w:rFonts w:hint="eastAsia" w:ascii="黑体" w:hAnsi="黑体" w:eastAsia="黑体"/>
          <w:color w:val="auto"/>
          <w:kern w:val="0"/>
          <w:sz w:val="30"/>
          <w:szCs w:val="30"/>
          <w:highlight w:val="none"/>
        </w:rPr>
        <w:t>取料、弃渣潜在土壤流失量</w:t>
      </w:r>
      <w:r>
        <w:rPr>
          <w:rFonts w:hint="eastAsia" w:ascii="黑体" w:hAnsi="宋体" w:eastAsia="黑体"/>
          <w:color w:val="auto"/>
          <w:kern w:val="0"/>
          <w:sz w:val="30"/>
          <w:szCs w:val="30"/>
          <w:highlight w:val="none"/>
        </w:rPr>
        <w:t xml:space="preserve"> </w:t>
      </w:r>
    </w:p>
    <w:p>
      <w:pPr>
        <w:widowControl/>
        <w:jc w:val="left"/>
        <w:rPr>
          <w:color w:val="auto"/>
          <w:highlight w:val="none"/>
        </w:rPr>
      </w:pPr>
      <w:r>
        <w:rPr>
          <w:rFonts w:hint="eastAsia"/>
          <w:color w:val="auto"/>
          <w:kern w:val="0"/>
          <w:highlight w:val="none"/>
        </w:rPr>
        <w:t xml:space="preserve">本项目场平工程由常宁市水口山经济开发区负责实施，借方由常宁市水口山经济开 发区负责购买，在实际施工过程中，未设置取土场，不存在潜在土壤流失量。 </w:t>
      </w:r>
    </w:p>
    <w:p>
      <w:pPr>
        <w:widowControl/>
        <w:jc w:val="left"/>
        <w:rPr>
          <w:color w:val="auto"/>
          <w:highlight w:val="none"/>
        </w:rPr>
      </w:pPr>
      <w:r>
        <w:rPr>
          <w:rFonts w:hint="eastAsia"/>
          <w:color w:val="auto"/>
          <w:kern w:val="0"/>
          <w:highlight w:val="none"/>
        </w:rPr>
        <w:t>本工程施工过程中产生弃渣已由常宁市水口山经济开发区负责统一调运，未设置弃 渣场，不存在潜在土壤流失量。</w:t>
      </w:r>
    </w:p>
    <w:p>
      <w:pPr>
        <w:widowControl/>
        <w:jc w:val="left"/>
        <w:rPr>
          <w:color w:val="auto"/>
          <w:highlight w:val="none"/>
        </w:rPr>
      </w:pPr>
      <w:r>
        <w:rPr>
          <w:rFonts w:ascii="Times New Roman" w:hAnsi="Times New Roman"/>
          <w:color w:val="auto"/>
          <w:kern w:val="0"/>
          <w:sz w:val="30"/>
          <w:szCs w:val="30"/>
          <w:highlight w:val="none"/>
        </w:rPr>
        <w:t xml:space="preserve">5.4 </w:t>
      </w:r>
      <w:r>
        <w:rPr>
          <w:rFonts w:hint="eastAsia" w:ascii="黑体" w:hAnsi="黑体" w:eastAsia="黑体"/>
          <w:color w:val="auto"/>
          <w:kern w:val="0"/>
          <w:sz w:val="30"/>
          <w:szCs w:val="30"/>
          <w:highlight w:val="none"/>
        </w:rPr>
        <w:t>水土流失危害</w:t>
      </w:r>
      <w:r>
        <w:rPr>
          <w:rFonts w:hint="eastAsia" w:ascii="黑体" w:hAnsi="宋体" w:eastAsia="黑体"/>
          <w:color w:val="auto"/>
          <w:kern w:val="0"/>
          <w:sz w:val="30"/>
          <w:szCs w:val="30"/>
          <w:highlight w:val="none"/>
        </w:rPr>
        <w:t xml:space="preserve"> </w:t>
      </w:r>
    </w:p>
    <w:p>
      <w:pPr>
        <w:widowControl/>
        <w:jc w:val="left"/>
        <w:rPr>
          <w:color w:val="auto"/>
          <w:highlight w:val="none"/>
        </w:rPr>
      </w:pPr>
      <w:r>
        <w:rPr>
          <w:rFonts w:hint="eastAsia"/>
          <w:color w:val="auto"/>
          <w:kern w:val="0"/>
          <w:highlight w:val="none"/>
        </w:rPr>
        <w:t xml:space="preserve">工程建设过程中，建设单位较重视水土保持工作，成立水土保持工作领导小组，专 人专责，制定相关规章制度，切实加强项目区水土流失防治工作。施工单位及监理单位 也按照建设单位要求，各司其职。 </w:t>
      </w:r>
    </w:p>
    <w:p>
      <w:pPr>
        <w:widowControl/>
        <w:jc w:val="left"/>
        <w:rPr>
          <w:color w:val="auto"/>
          <w:highlight w:val="none"/>
        </w:rPr>
      </w:pPr>
      <w:r>
        <w:rPr>
          <w:rFonts w:hint="eastAsia"/>
          <w:color w:val="auto"/>
          <w:kern w:val="0"/>
          <w:highlight w:val="none"/>
        </w:rPr>
        <w:t>施工过程中各施工区域通过采取不同的临时防护措施，有效的控制了施工过程中产 生的水土流失，在建构筑物、道路修建过程中，同时进行砼排水沟的布设以及绿化区域 铺种草皮等绿化等措施的实施，缩短了水土流失的时间，减少了水土流失。 通过调查，项目区内未发生水土流失危害事件。</w:t>
      </w:r>
    </w:p>
    <w:p>
      <w:pPr>
        <w:widowControl/>
        <w:jc w:val="left"/>
        <w:rPr>
          <w:rFonts w:hint="eastAsia"/>
          <w:color w:val="auto"/>
          <w:kern w:val="0"/>
          <w:highlight w:val="none"/>
        </w:rPr>
        <w:sectPr>
          <w:pgSz w:w="11906" w:h="16838"/>
          <w:pgMar w:top="1440" w:right="1440" w:bottom="1440" w:left="1440" w:header="851" w:footer="992" w:gutter="0"/>
          <w:cols w:space="0" w:num="1"/>
          <w:rtlGutter w:val="0"/>
          <w:docGrid w:type="lines" w:linePitch="312" w:charSpace="0"/>
        </w:sectPr>
      </w:pPr>
    </w:p>
    <w:p>
      <w:pPr>
        <w:widowControl/>
        <w:ind w:left="0" w:leftChars="0" w:firstLine="0" w:firstLineChars="0"/>
        <w:jc w:val="left"/>
        <w:rPr>
          <w:rFonts w:hint="eastAsia" w:ascii="Calibri" w:hAnsi="Calibri" w:eastAsia="宋体"/>
          <w:color w:val="auto"/>
          <w:sz w:val="21"/>
          <w:szCs w:val="21"/>
          <w:highlight w:val="none"/>
        </w:rPr>
      </w:pPr>
      <w:r>
        <w:rPr>
          <w:rFonts w:hint="eastAsia"/>
          <w:color w:val="auto"/>
          <w:kern w:val="0"/>
          <w:highlight w:val="none"/>
        </w:rPr>
        <w:t xml:space="preserve"> </w:t>
      </w:r>
      <w:bookmarkStart w:id="31" w:name="_Toc31957"/>
      <w:r>
        <w:rPr>
          <w:rStyle w:val="27"/>
          <w:color w:val="auto"/>
          <w:highlight w:val="none"/>
        </w:rPr>
        <w:t xml:space="preserve">6 </w:t>
      </w:r>
      <w:r>
        <w:rPr>
          <w:rStyle w:val="27"/>
          <w:rFonts w:hint="eastAsia"/>
          <w:color w:val="auto"/>
          <w:highlight w:val="none"/>
        </w:rPr>
        <w:t xml:space="preserve">水土流失防治效果监测结果 </w:t>
      </w:r>
      <w:bookmarkEnd w:id="31"/>
    </w:p>
    <w:p>
      <w:pPr>
        <w:pStyle w:val="4"/>
        <w:bidi w:val="0"/>
        <w:rPr>
          <w:color w:val="auto"/>
          <w:highlight w:val="none"/>
        </w:rPr>
      </w:pPr>
      <w:bookmarkStart w:id="32" w:name="_Toc5226"/>
      <w:r>
        <w:rPr>
          <w:color w:val="auto"/>
          <w:highlight w:val="none"/>
        </w:rPr>
        <w:t xml:space="preserve">6.1 </w:t>
      </w:r>
      <w:r>
        <w:rPr>
          <w:rFonts w:hint="eastAsia"/>
          <w:color w:val="auto"/>
          <w:highlight w:val="none"/>
        </w:rPr>
        <w:t>扰动土地整治率</w:t>
      </w:r>
      <w:bookmarkEnd w:id="32"/>
      <w:r>
        <w:rPr>
          <w:rFonts w:hint="eastAsia"/>
          <w:color w:val="auto"/>
          <w:highlight w:val="none"/>
        </w:rPr>
        <w:t xml:space="preserve"> </w:t>
      </w:r>
    </w:p>
    <w:p>
      <w:pPr>
        <w:widowControl/>
        <w:jc w:val="left"/>
        <w:rPr>
          <w:color w:val="auto"/>
          <w:highlight w:val="none"/>
        </w:rPr>
      </w:pPr>
      <w:r>
        <w:rPr>
          <w:rFonts w:hint="eastAsia"/>
          <w:color w:val="auto"/>
          <w:kern w:val="0"/>
          <w:highlight w:val="none"/>
        </w:rPr>
        <w:t>本项目实际扰动土地面积</w:t>
      </w:r>
      <w:r>
        <w:rPr>
          <w:rFonts w:ascii="Times New Roman" w:hAnsi="Times New Roman"/>
          <w:color w:val="auto"/>
          <w:kern w:val="0"/>
          <w:highlight w:val="none"/>
        </w:rPr>
        <w:t>7.32h</w:t>
      </w:r>
      <w:r>
        <w:rPr>
          <w:rFonts w:hint="eastAsia" w:ascii="Times New Roman" w:hAnsi="Times New Roman"/>
          <w:color w:val="auto"/>
          <w:kern w:val="0"/>
          <w:highlight w:val="none"/>
          <w:lang w:eastAsia="zh-CN"/>
        </w:rPr>
        <w:t>㎡，</w:t>
      </w:r>
      <w:r>
        <w:rPr>
          <w:rFonts w:hint="eastAsia"/>
          <w:color w:val="auto"/>
          <w:kern w:val="0"/>
          <w:highlight w:val="none"/>
        </w:rPr>
        <w:t>完成的扰动土地整治面积为</w:t>
      </w:r>
      <w:r>
        <w:rPr>
          <w:rFonts w:ascii="Times New Roman" w:hAnsi="Times New Roman"/>
          <w:color w:val="auto"/>
          <w:kern w:val="0"/>
          <w:highlight w:val="none"/>
        </w:rPr>
        <w:t>7.23h</w:t>
      </w:r>
      <w:r>
        <w:rPr>
          <w:rFonts w:hint="eastAsia" w:ascii="Times New Roman" w:hAnsi="Times New Roman"/>
          <w:color w:val="auto"/>
          <w:kern w:val="0"/>
          <w:highlight w:val="none"/>
          <w:lang w:eastAsia="zh-CN"/>
        </w:rPr>
        <w:t>㎡，</w:t>
      </w:r>
      <w:r>
        <w:rPr>
          <w:rFonts w:hint="eastAsia"/>
          <w:color w:val="auto"/>
          <w:kern w:val="0"/>
          <w:highlight w:val="none"/>
        </w:rPr>
        <w:t>包括植物措施面积</w:t>
      </w:r>
      <w:r>
        <w:rPr>
          <w:rFonts w:ascii="Times New Roman" w:hAnsi="Times New Roman"/>
          <w:color w:val="auto"/>
          <w:kern w:val="0"/>
          <w:highlight w:val="none"/>
        </w:rPr>
        <w:t>1.98h</w:t>
      </w:r>
      <w:r>
        <w:rPr>
          <w:rFonts w:hint="eastAsia" w:ascii="Times New Roman" w:hAnsi="Times New Roman"/>
          <w:color w:val="auto"/>
          <w:kern w:val="0"/>
          <w:highlight w:val="none"/>
          <w:lang w:eastAsia="zh-CN"/>
        </w:rPr>
        <w:t>㎡，</w:t>
      </w:r>
      <w:r>
        <w:rPr>
          <w:rFonts w:hint="eastAsia"/>
          <w:color w:val="auto"/>
          <w:kern w:val="0"/>
          <w:highlight w:val="none"/>
        </w:rPr>
        <w:t>工程措施面积</w:t>
      </w:r>
      <w:r>
        <w:rPr>
          <w:rFonts w:ascii="Times New Roman" w:hAnsi="Times New Roman"/>
          <w:color w:val="auto"/>
          <w:kern w:val="0"/>
          <w:highlight w:val="none"/>
        </w:rPr>
        <w:t>0.23h</w:t>
      </w:r>
      <w:r>
        <w:rPr>
          <w:rFonts w:hint="eastAsia" w:ascii="Times New Roman" w:hAnsi="Times New Roman"/>
          <w:color w:val="auto"/>
          <w:kern w:val="0"/>
          <w:highlight w:val="none"/>
          <w:lang w:eastAsia="zh-CN"/>
        </w:rPr>
        <w:t>㎡，</w:t>
      </w:r>
      <w:r>
        <w:rPr>
          <w:rFonts w:hint="eastAsia"/>
          <w:color w:val="auto"/>
          <w:kern w:val="0"/>
          <w:highlight w:val="none"/>
        </w:rPr>
        <w:t>各防治分区内建（构）筑物及场地</w:t>
      </w:r>
      <w:r>
        <w:rPr>
          <w:rFonts w:hint="eastAsia"/>
          <w:color w:val="auto"/>
          <w:kern w:val="0"/>
          <w:highlight w:val="none"/>
          <w:lang w:eastAsia="zh-CN"/>
        </w:rPr>
        <w:t>、</w:t>
      </w:r>
      <w:r>
        <w:rPr>
          <w:rFonts w:hint="eastAsia"/>
          <w:color w:val="auto"/>
          <w:kern w:val="0"/>
          <w:highlight w:val="none"/>
        </w:rPr>
        <w:t>道路</w:t>
      </w:r>
      <w:r>
        <w:rPr>
          <w:rFonts w:hint="eastAsia"/>
          <w:color w:val="auto"/>
          <w:kern w:val="0"/>
          <w:highlight w:val="none"/>
          <w:lang w:eastAsia="zh-CN"/>
        </w:rPr>
        <w:t>、</w:t>
      </w:r>
      <w:r>
        <w:rPr>
          <w:rFonts w:hint="eastAsia"/>
          <w:color w:val="auto"/>
          <w:kern w:val="0"/>
          <w:highlight w:val="none"/>
        </w:rPr>
        <w:t>硬化占地面积达</w:t>
      </w:r>
      <w:r>
        <w:rPr>
          <w:rFonts w:ascii="Times New Roman" w:hAnsi="Times New Roman"/>
          <w:color w:val="auto"/>
          <w:kern w:val="0"/>
          <w:highlight w:val="none"/>
        </w:rPr>
        <w:t>5.02h</w:t>
      </w:r>
      <w:r>
        <w:rPr>
          <w:rFonts w:hint="eastAsia" w:ascii="Times New Roman" w:hAnsi="Times New Roman"/>
          <w:color w:val="auto"/>
          <w:kern w:val="0"/>
          <w:highlight w:val="none"/>
          <w:lang w:eastAsia="zh-CN"/>
        </w:rPr>
        <w:t>㎡，</w:t>
      </w:r>
      <w:r>
        <w:rPr>
          <w:rFonts w:hint="eastAsia"/>
          <w:color w:val="auto"/>
          <w:kern w:val="0"/>
          <w:highlight w:val="none"/>
        </w:rPr>
        <w:t>项目区平均扰动土地整治率为</w:t>
      </w:r>
      <w:r>
        <w:rPr>
          <w:rFonts w:ascii="Times New Roman" w:hAnsi="Times New Roman"/>
          <w:color w:val="auto"/>
          <w:kern w:val="0"/>
          <w:highlight w:val="none"/>
        </w:rPr>
        <w:t>98.77%</w:t>
      </w:r>
      <w:r>
        <w:rPr>
          <w:rFonts w:hint="eastAsia" w:ascii="Times New Roman" w:hAnsi="Times New Roman"/>
          <w:color w:val="auto"/>
          <w:kern w:val="0"/>
          <w:highlight w:val="none"/>
          <w:lang w:eastAsia="zh-CN"/>
        </w:rPr>
        <w:t>，</w:t>
      </w:r>
      <w:r>
        <w:rPr>
          <w:rFonts w:hint="eastAsia"/>
          <w:color w:val="auto"/>
          <w:kern w:val="0"/>
          <w:highlight w:val="none"/>
        </w:rPr>
        <w:t>达到方案防治标准的要求</w:t>
      </w:r>
      <w:r>
        <w:rPr>
          <w:rFonts w:hint="eastAsia"/>
          <w:color w:val="auto"/>
          <w:kern w:val="0"/>
          <w:highlight w:val="none"/>
          <w:lang w:eastAsia="zh-CN"/>
        </w:rPr>
        <w:t>。</w:t>
      </w:r>
      <w:r>
        <w:rPr>
          <w:rFonts w:hint="eastAsia"/>
          <w:color w:val="auto"/>
          <w:kern w:val="0"/>
          <w:highlight w:val="none"/>
        </w:rPr>
        <w:t xml:space="preserve">本工程扰动土地整治情况分析见表 </w:t>
      </w:r>
      <w:r>
        <w:rPr>
          <w:rFonts w:ascii="Times New Roman" w:hAnsi="Times New Roman"/>
          <w:color w:val="auto"/>
          <w:kern w:val="0"/>
          <w:highlight w:val="none"/>
        </w:rPr>
        <w:t>6.1</w:t>
      </w:r>
      <w:r>
        <w:rPr>
          <w:rFonts w:hint="eastAsia"/>
          <w:color w:val="auto"/>
          <w:kern w:val="0"/>
          <w:highlight w:val="none"/>
        </w:rPr>
        <w:t xml:space="preserve">。 </w:t>
      </w:r>
    </w:p>
    <w:p>
      <w:pPr>
        <w:widowControl/>
        <w:jc w:val="center"/>
        <w:rPr>
          <w:rFonts w:hint="eastAsia"/>
          <w:color w:val="auto"/>
          <w:kern w:val="0"/>
          <w:highlight w:val="none"/>
        </w:rPr>
      </w:pPr>
      <w:r>
        <w:rPr>
          <w:rFonts w:hint="eastAsia"/>
          <w:color w:val="auto"/>
          <w:kern w:val="0"/>
          <w:highlight w:val="none"/>
        </w:rPr>
        <w:t xml:space="preserve">表 </w:t>
      </w:r>
      <w:r>
        <w:rPr>
          <w:rFonts w:ascii="Times New Roman" w:hAnsi="Times New Roman"/>
          <w:color w:val="auto"/>
          <w:kern w:val="0"/>
          <w:highlight w:val="none"/>
        </w:rPr>
        <w:t xml:space="preserve">6.1 </w:t>
      </w:r>
      <w:r>
        <w:rPr>
          <w:rFonts w:hint="eastAsia"/>
          <w:color w:val="auto"/>
          <w:kern w:val="0"/>
          <w:highlight w:val="none"/>
        </w:rPr>
        <w:t>扰动土地整治率</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1"/>
        <w:gridCol w:w="999"/>
        <w:gridCol w:w="1065"/>
        <w:gridCol w:w="1065"/>
        <w:gridCol w:w="1065"/>
        <w:gridCol w:w="1065"/>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1" w:type="dxa"/>
            <w:vMerge w:val="restart"/>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分区</w:t>
            </w:r>
          </w:p>
        </w:tc>
        <w:tc>
          <w:tcPr>
            <w:tcW w:w="999" w:type="dxa"/>
            <w:vMerge w:val="restart"/>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占地面积</w:t>
            </w:r>
          </w:p>
        </w:tc>
        <w:tc>
          <w:tcPr>
            <w:tcW w:w="1065" w:type="dxa"/>
            <w:vMerge w:val="restart"/>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扰动面积</w:t>
            </w:r>
          </w:p>
        </w:tc>
        <w:tc>
          <w:tcPr>
            <w:tcW w:w="4261" w:type="dxa"/>
            <w:gridSpan w:val="4"/>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扰动土地治理面积</w:t>
            </w:r>
          </w:p>
        </w:tc>
        <w:tc>
          <w:tcPr>
            <w:tcW w:w="1066" w:type="dxa"/>
            <w:vMerge w:val="restart"/>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扰动土地整治率%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1" w:type="dxa"/>
            <w:vMerge w:val="continue"/>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999" w:type="dxa"/>
            <w:vMerge w:val="continue"/>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vMerge w:val="continue"/>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植物措施</w:t>
            </w:r>
          </w:p>
        </w:tc>
        <w:tc>
          <w:tcPr>
            <w:tcW w:w="1065"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工程措施</w:t>
            </w:r>
          </w:p>
        </w:tc>
        <w:tc>
          <w:tcPr>
            <w:tcW w:w="1065"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建筑物及场地道路硬化面积</w:t>
            </w:r>
          </w:p>
        </w:tc>
        <w:tc>
          <w:tcPr>
            <w:tcW w:w="1066"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小计</w:t>
            </w:r>
          </w:p>
        </w:tc>
        <w:tc>
          <w:tcPr>
            <w:tcW w:w="1066" w:type="dxa"/>
            <w:vMerge w:val="continue"/>
            <w:tcMar>
              <w:top w:w="0" w:type="dxa"/>
              <w:left w:w="0" w:type="dxa"/>
              <w:bottom w:w="0" w:type="dxa"/>
              <w:right w:w="0" w:type="dxa"/>
            </w:tcMar>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主体工程区</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4.84</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4.84</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4.60</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4.72</w:t>
            </w: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施工临建区</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临时堆土区</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3.25</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3.25</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3.10</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3.20</w:t>
            </w: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进场道路区</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直接影响区</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0.4</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0.4</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0.38</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1"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总计</w:t>
            </w:r>
          </w:p>
        </w:tc>
        <w:tc>
          <w:tcPr>
            <w:tcW w:w="999"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8.49</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8.49</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8.08</w:t>
            </w:r>
          </w:p>
        </w:tc>
        <w:tc>
          <w:tcPr>
            <w:tcW w:w="1065"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066" w:type="dxa"/>
            <w:tcMar>
              <w:top w:w="0" w:type="dxa"/>
              <w:left w:w="0" w:type="dxa"/>
              <w:bottom w:w="0" w:type="dxa"/>
              <w:right w:w="0" w:type="dxa"/>
            </w:tcMar>
            <w:vAlign w:val="top"/>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95%</w:t>
            </w:r>
          </w:p>
        </w:tc>
      </w:tr>
    </w:tbl>
    <w:p>
      <w:pPr>
        <w:pStyle w:val="4"/>
        <w:bidi w:val="0"/>
        <w:rPr>
          <w:color w:val="auto"/>
          <w:highlight w:val="none"/>
        </w:rPr>
      </w:pPr>
      <w:bookmarkStart w:id="33" w:name="_Toc2729"/>
      <w:r>
        <w:rPr>
          <w:color w:val="auto"/>
          <w:highlight w:val="none"/>
        </w:rPr>
        <w:t xml:space="preserve">6.2 </w:t>
      </w:r>
      <w:r>
        <w:rPr>
          <w:rFonts w:hint="eastAsia"/>
          <w:color w:val="auto"/>
          <w:highlight w:val="none"/>
        </w:rPr>
        <w:t>水土流失总治理程度</w:t>
      </w:r>
      <w:bookmarkEnd w:id="33"/>
      <w:r>
        <w:rPr>
          <w:rFonts w:hint="eastAsia"/>
          <w:color w:val="auto"/>
          <w:highlight w:val="none"/>
        </w:rPr>
        <w:t xml:space="preserve"> </w:t>
      </w:r>
    </w:p>
    <w:p>
      <w:pPr>
        <w:widowControl/>
        <w:jc w:val="left"/>
        <w:rPr>
          <w:color w:val="auto"/>
          <w:highlight w:val="none"/>
        </w:rPr>
      </w:pPr>
      <w:r>
        <w:rPr>
          <w:rFonts w:hint="eastAsia"/>
          <w:color w:val="auto"/>
          <w:kern w:val="0"/>
          <w:highlight w:val="none"/>
        </w:rPr>
        <w:t xml:space="preserve">主体工程区实际扰动土地范围除去建（构）筑物、场地、道路、硬化占地面积，实 际造成水土流失面积 </w:t>
      </w:r>
      <w:r>
        <w:rPr>
          <w:rFonts w:ascii="Times New Roman" w:hAnsi="Times New Roman"/>
          <w:color w:val="auto"/>
          <w:kern w:val="0"/>
          <w:highlight w:val="none"/>
        </w:rPr>
        <w:t>2.3h</w:t>
      </w:r>
      <w:r>
        <w:rPr>
          <w:rFonts w:hint="eastAsia" w:ascii="Times New Roman" w:hAnsi="Times New Roman"/>
          <w:color w:val="auto"/>
          <w:kern w:val="0"/>
          <w:highlight w:val="none"/>
          <w:lang w:eastAsia="zh-CN"/>
        </w:rPr>
        <w:t>㎡</w:t>
      </w:r>
      <w:r>
        <w:rPr>
          <w:rFonts w:hint="eastAsia"/>
          <w:color w:val="auto"/>
          <w:kern w:val="0"/>
          <w:highlight w:val="none"/>
        </w:rPr>
        <w:t>，各项水土保持工程措施和植物绿化措施等治理达标面积</w:t>
      </w:r>
      <w:r>
        <w:rPr>
          <w:rFonts w:hint="eastAsia"/>
          <w:color w:val="auto"/>
          <w:kern w:val="0"/>
          <w:highlight w:val="none"/>
          <w:lang w:val="en-US" w:eastAsia="zh-CN"/>
        </w:rPr>
        <w:t>为</w:t>
      </w:r>
      <w:r>
        <w:rPr>
          <w:rFonts w:ascii="Times New Roman" w:hAnsi="Times New Roman"/>
          <w:color w:val="auto"/>
          <w:kern w:val="0"/>
          <w:highlight w:val="none"/>
        </w:rPr>
        <w:t>2.13h</w:t>
      </w:r>
      <w:r>
        <w:rPr>
          <w:rFonts w:hint="eastAsia" w:ascii="Times New Roman" w:hAnsi="Times New Roman"/>
          <w:color w:val="auto"/>
          <w:kern w:val="0"/>
          <w:highlight w:val="none"/>
          <w:lang w:eastAsia="zh-CN"/>
        </w:rPr>
        <w:t>㎡</w:t>
      </w:r>
      <w:r>
        <w:rPr>
          <w:rFonts w:hint="eastAsia"/>
          <w:color w:val="auto"/>
          <w:kern w:val="0"/>
          <w:highlight w:val="none"/>
          <w:lang w:eastAsia="zh-CN"/>
        </w:rPr>
        <w:t>，</w:t>
      </w:r>
      <w:r>
        <w:rPr>
          <w:rFonts w:hint="eastAsia"/>
          <w:color w:val="auto"/>
          <w:kern w:val="0"/>
          <w:highlight w:val="none"/>
        </w:rPr>
        <w:t xml:space="preserve">由此计算项目区水土流失综合总治理度为 </w:t>
      </w:r>
      <w:r>
        <w:rPr>
          <w:rFonts w:ascii="Times New Roman" w:hAnsi="Times New Roman"/>
          <w:color w:val="auto"/>
          <w:kern w:val="0"/>
          <w:highlight w:val="none"/>
        </w:rPr>
        <w:t>96.09%</w:t>
      </w:r>
      <w:r>
        <w:rPr>
          <w:rFonts w:hint="eastAsia"/>
          <w:color w:val="auto"/>
          <w:kern w:val="0"/>
          <w:highlight w:val="none"/>
        </w:rPr>
        <w:t xml:space="preserve">，达到方案防治标准的要求。 </w:t>
      </w:r>
    </w:p>
    <w:p>
      <w:pPr>
        <w:pStyle w:val="4"/>
        <w:bidi w:val="0"/>
        <w:rPr>
          <w:color w:val="auto"/>
          <w:highlight w:val="none"/>
        </w:rPr>
      </w:pPr>
      <w:bookmarkStart w:id="34" w:name="_Toc13478"/>
      <w:r>
        <w:rPr>
          <w:color w:val="auto"/>
          <w:highlight w:val="none"/>
        </w:rPr>
        <w:t xml:space="preserve">6.3 </w:t>
      </w:r>
      <w:r>
        <w:rPr>
          <w:rFonts w:hint="eastAsia"/>
          <w:color w:val="auto"/>
          <w:highlight w:val="none"/>
        </w:rPr>
        <w:t>拦渣率与弃渣利用情况</w:t>
      </w:r>
      <w:bookmarkEnd w:id="34"/>
      <w:r>
        <w:rPr>
          <w:rFonts w:hint="eastAsia"/>
          <w:color w:val="auto"/>
          <w:highlight w:val="none"/>
        </w:rPr>
        <w:t xml:space="preserve"> </w:t>
      </w:r>
    </w:p>
    <w:p>
      <w:pPr>
        <w:widowControl/>
        <w:jc w:val="left"/>
        <w:rPr>
          <w:color w:val="auto"/>
          <w:highlight w:val="none"/>
        </w:rPr>
      </w:pPr>
      <w:r>
        <w:rPr>
          <w:rFonts w:hint="eastAsia"/>
          <w:color w:val="auto"/>
          <w:kern w:val="0"/>
          <w:highlight w:val="none"/>
        </w:rPr>
        <w:t xml:space="preserve">拦渣率指项目防治责任范围内采取措施实际挡护的永久弃渣、临时堆土数量占永久 弃渣和临时堆土总量的百分比。 </w:t>
      </w:r>
    </w:p>
    <w:p>
      <w:pPr>
        <w:widowControl/>
        <w:jc w:val="left"/>
        <w:rPr>
          <w:rFonts w:hint="eastAsia"/>
          <w:color w:val="auto"/>
          <w:kern w:val="0"/>
          <w:highlight w:val="none"/>
        </w:rPr>
      </w:pPr>
      <w:r>
        <w:rPr>
          <w:rFonts w:hint="eastAsia"/>
          <w:color w:val="auto"/>
          <w:kern w:val="0"/>
          <w:highlight w:val="none"/>
        </w:rPr>
        <w:t xml:space="preserve">项目建设过程中，场地平整弃方 </w:t>
      </w:r>
      <w:r>
        <w:rPr>
          <w:rFonts w:ascii="Times New Roman" w:hAnsi="Times New Roman"/>
          <w:color w:val="auto"/>
          <w:kern w:val="0"/>
          <w:highlight w:val="none"/>
        </w:rPr>
        <w:t xml:space="preserve">69.49 </w:t>
      </w:r>
      <w:r>
        <w:rPr>
          <w:rFonts w:hint="eastAsia"/>
          <w:color w:val="auto"/>
          <w:kern w:val="0"/>
          <w:highlight w:val="none"/>
        </w:rPr>
        <w:t xml:space="preserve">万 </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 xml:space="preserve">，由常宁市水口山经济开发区负责实施 和统一调运，本工程未设置弃渣场；表土堆置量 </w:t>
      </w:r>
      <w:r>
        <w:rPr>
          <w:rFonts w:ascii="Times New Roman" w:hAnsi="Times New Roman"/>
          <w:color w:val="auto"/>
          <w:kern w:val="0"/>
          <w:highlight w:val="none"/>
        </w:rPr>
        <w:t xml:space="preserve">0.52 </w:t>
      </w:r>
      <w:r>
        <w:rPr>
          <w:rFonts w:hint="eastAsia"/>
          <w:color w:val="auto"/>
          <w:kern w:val="0"/>
          <w:highlight w:val="none"/>
        </w:rPr>
        <w:t xml:space="preserve">万 </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 xml:space="preserve">，后期用于厂区绿化恢复， 堆置过程中，采用了袋装土拦挡和覆盖。综上，弃渣和临时堆土数量 </w:t>
      </w:r>
      <w:r>
        <w:rPr>
          <w:rFonts w:ascii="Times New Roman" w:hAnsi="Times New Roman"/>
          <w:color w:val="auto"/>
          <w:kern w:val="0"/>
          <w:highlight w:val="none"/>
        </w:rPr>
        <w:t xml:space="preserve">70.01 </w:t>
      </w:r>
      <w:r>
        <w:rPr>
          <w:rFonts w:hint="eastAsia"/>
          <w:color w:val="auto"/>
          <w:kern w:val="0"/>
          <w:highlight w:val="none"/>
        </w:rPr>
        <w:t xml:space="preserve">万 </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 xml:space="preserve">，实际 挡护数量 </w:t>
      </w:r>
      <w:r>
        <w:rPr>
          <w:rFonts w:ascii="Times New Roman" w:hAnsi="Times New Roman"/>
          <w:color w:val="auto"/>
          <w:kern w:val="0"/>
          <w:highlight w:val="none"/>
        </w:rPr>
        <w:t xml:space="preserve">69.9 </w:t>
      </w:r>
      <w:r>
        <w:rPr>
          <w:rFonts w:hint="eastAsia"/>
          <w:color w:val="auto"/>
          <w:kern w:val="0"/>
          <w:highlight w:val="none"/>
        </w:rPr>
        <w:t xml:space="preserve">万 </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 xml:space="preserve">，拦渣率为 </w:t>
      </w:r>
      <w:r>
        <w:rPr>
          <w:rFonts w:ascii="Times New Roman" w:hAnsi="Times New Roman"/>
          <w:color w:val="auto"/>
          <w:kern w:val="0"/>
          <w:highlight w:val="none"/>
        </w:rPr>
        <w:t>99.8%</w:t>
      </w:r>
      <w:r>
        <w:rPr>
          <w:rFonts w:hint="eastAsia"/>
          <w:color w:val="auto"/>
          <w:kern w:val="0"/>
          <w:highlight w:val="none"/>
        </w:rPr>
        <w:t xml:space="preserve">。 </w:t>
      </w:r>
    </w:p>
    <w:p>
      <w:pPr>
        <w:pStyle w:val="4"/>
        <w:bidi w:val="0"/>
        <w:rPr>
          <w:rFonts w:hint="eastAsia"/>
          <w:color w:val="auto"/>
          <w:highlight w:val="none"/>
        </w:rPr>
      </w:pPr>
      <w:bookmarkStart w:id="35" w:name="_Toc1397"/>
      <w:r>
        <w:rPr>
          <w:rStyle w:val="25"/>
          <w:b/>
          <w:bCs/>
          <w:color w:val="auto"/>
          <w:highlight w:val="none"/>
        </w:rPr>
        <w:t xml:space="preserve">6.4 </w:t>
      </w:r>
      <w:r>
        <w:rPr>
          <w:rStyle w:val="25"/>
          <w:rFonts w:hint="eastAsia"/>
          <w:b/>
          <w:bCs/>
          <w:color w:val="auto"/>
          <w:highlight w:val="none"/>
        </w:rPr>
        <w:t>土壤流失控制比</w:t>
      </w:r>
      <w:bookmarkEnd w:id="35"/>
      <w:r>
        <w:rPr>
          <w:rStyle w:val="25"/>
          <w:rFonts w:hint="eastAsia"/>
          <w:b/>
          <w:bCs/>
          <w:color w:val="auto"/>
          <w:highlight w:val="none"/>
        </w:rPr>
        <w:t xml:space="preserve"> </w:t>
      </w:r>
    </w:p>
    <w:p>
      <w:pPr>
        <w:widowControl/>
        <w:jc w:val="left"/>
        <w:rPr>
          <w:color w:val="auto"/>
          <w:highlight w:val="none"/>
        </w:rPr>
      </w:pPr>
      <w:r>
        <w:rPr>
          <w:rFonts w:hint="eastAsia"/>
          <w:color w:val="auto"/>
          <w:kern w:val="0"/>
          <w:highlight w:val="none"/>
        </w:rPr>
        <w:t>本工程所在区域属于南方红壤丘陵区，容许土壤流失量为</w:t>
      </w:r>
      <w:r>
        <w:rPr>
          <w:rFonts w:hint="eastAsia"/>
          <w:color w:val="auto"/>
          <w:kern w:val="0"/>
          <w:highlight w:val="none"/>
          <w:lang w:val="en-US" w:eastAsia="zh-CN"/>
        </w:rPr>
        <w:t>500</w:t>
      </w:r>
      <w:r>
        <w:rPr>
          <w:rFonts w:ascii="Times New Roman" w:hAnsi="Times New Roman"/>
          <w:color w:val="auto"/>
          <w:kern w:val="0"/>
          <w:highlight w:val="none"/>
        </w:rPr>
        <w:t>t/k</w:t>
      </w:r>
      <w:r>
        <w:rPr>
          <w:rFonts w:hint="eastAsia" w:ascii="Times New Roman" w:hAnsi="Times New Roman"/>
          <w:color w:val="auto"/>
          <w:kern w:val="0"/>
          <w:highlight w:val="none"/>
          <w:lang w:eastAsia="zh-CN"/>
        </w:rPr>
        <w:t>㎡</w:t>
      </w:r>
      <w:r>
        <w:rPr>
          <w:rFonts w:hint="eastAsia" w:ascii="仿宋_GB2312" w:hAnsi="仿宋_GB2312" w:eastAsia="仿宋_GB2312" w:cs="仿宋_GB2312"/>
          <w:color w:val="auto"/>
          <w:kern w:val="0"/>
          <w:highlight w:val="none"/>
          <w:lang w:eastAsia="zh-CN"/>
        </w:rPr>
        <w:t>·</w:t>
      </w:r>
      <w:r>
        <w:rPr>
          <w:rFonts w:ascii="Times New Roman" w:hAnsi="Times New Roman"/>
          <w:color w:val="auto"/>
          <w:kern w:val="0"/>
          <w:highlight w:val="none"/>
        </w:rPr>
        <w:t>a</w:t>
      </w:r>
      <w:r>
        <w:rPr>
          <w:rFonts w:hint="eastAsia"/>
          <w:color w:val="auto"/>
          <w:kern w:val="0"/>
          <w:highlight w:val="none"/>
        </w:rPr>
        <w:t xml:space="preserve">。根据本项目 水土保持监测总结报告，平均土壤流失量 </w:t>
      </w:r>
      <w:r>
        <w:rPr>
          <w:rFonts w:ascii="Times New Roman" w:hAnsi="Times New Roman"/>
          <w:color w:val="auto"/>
          <w:kern w:val="0"/>
          <w:highlight w:val="none"/>
        </w:rPr>
        <w:t>500t/k</w:t>
      </w:r>
      <w:r>
        <w:rPr>
          <w:rFonts w:hint="eastAsia" w:ascii="Times New Roman" w:hAnsi="Times New Roman"/>
          <w:color w:val="auto"/>
          <w:kern w:val="0"/>
          <w:highlight w:val="none"/>
          <w:lang w:eastAsia="zh-CN"/>
        </w:rPr>
        <w:t>㎡</w:t>
      </w:r>
      <w:r>
        <w:rPr>
          <w:rFonts w:hint="eastAsia" w:ascii="仿宋_GB2312" w:hAnsi="仿宋_GB2312" w:eastAsia="仿宋_GB2312" w:cs="仿宋_GB2312"/>
          <w:color w:val="auto"/>
          <w:kern w:val="0"/>
          <w:highlight w:val="none"/>
          <w:lang w:eastAsia="zh-CN"/>
        </w:rPr>
        <w:t>·</w:t>
      </w:r>
      <w:r>
        <w:rPr>
          <w:rFonts w:ascii="Times New Roman" w:hAnsi="Times New Roman"/>
          <w:color w:val="auto"/>
          <w:kern w:val="0"/>
          <w:highlight w:val="none"/>
        </w:rPr>
        <w:t>a</w:t>
      </w:r>
      <w:r>
        <w:rPr>
          <w:rFonts w:hint="eastAsia"/>
          <w:color w:val="auto"/>
          <w:kern w:val="0"/>
          <w:highlight w:val="none"/>
        </w:rPr>
        <w:t xml:space="preserve">，水土流失控制比为 </w:t>
      </w:r>
      <w:r>
        <w:rPr>
          <w:rFonts w:ascii="Times New Roman" w:hAnsi="Times New Roman"/>
          <w:color w:val="auto"/>
          <w:kern w:val="0"/>
          <w:highlight w:val="none"/>
        </w:rPr>
        <w:t>1</w:t>
      </w:r>
      <w:r>
        <w:rPr>
          <w:rFonts w:hint="eastAsia"/>
          <w:color w:val="auto"/>
          <w:kern w:val="0"/>
          <w:highlight w:val="none"/>
        </w:rPr>
        <w:t xml:space="preserve">，水土流失 控制比满足水土保持有关规范要求。 </w:t>
      </w:r>
    </w:p>
    <w:p>
      <w:pPr>
        <w:pStyle w:val="4"/>
        <w:bidi w:val="0"/>
        <w:rPr>
          <w:color w:val="auto"/>
          <w:highlight w:val="none"/>
        </w:rPr>
      </w:pPr>
      <w:bookmarkStart w:id="36" w:name="_Toc2019"/>
      <w:r>
        <w:rPr>
          <w:color w:val="auto"/>
          <w:highlight w:val="none"/>
        </w:rPr>
        <w:t xml:space="preserve">6.5 </w:t>
      </w:r>
      <w:r>
        <w:rPr>
          <w:rFonts w:hint="eastAsia"/>
          <w:color w:val="auto"/>
          <w:highlight w:val="none"/>
        </w:rPr>
        <w:t>林草植被恢复</w:t>
      </w:r>
      <w:r>
        <w:rPr>
          <w:rFonts w:hint="eastAsia"/>
          <w:color w:val="auto"/>
          <w:highlight w:val="none"/>
          <w:lang w:eastAsia="zh-CN"/>
        </w:rPr>
        <w:t>、</w:t>
      </w:r>
      <w:r>
        <w:rPr>
          <w:rFonts w:hint="eastAsia"/>
          <w:color w:val="auto"/>
          <w:highlight w:val="none"/>
          <w:lang w:val="en-US" w:eastAsia="zh-CN"/>
        </w:rPr>
        <w:t>覆盖</w:t>
      </w:r>
      <w:r>
        <w:rPr>
          <w:rFonts w:hint="eastAsia"/>
          <w:color w:val="auto"/>
          <w:highlight w:val="none"/>
        </w:rPr>
        <w:t>率</w:t>
      </w:r>
      <w:bookmarkEnd w:id="36"/>
      <w:r>
        <w:rPr>
          <w:rFonts w:hint="eastAsia"/>
          <w:color w:val="auto"/>
          <w:highlight w:val="none"/>
        </w:rPr>
        <w:t xml:space="preserve"> </w:t>
      </w:r>
    </w:p>
    <w:p>
      <w:pPr>
        <w:widowControl/>
        <w:jc w:val="left"/>
        <w:rPr>
          <w:color w:val="auto"/>
          <w:highlight w:val="none"/>
        </w:rPr>
      </w:pPr>
      <w:r>
        <w:rPr>
          <w:rFonts w:hint="eastAsia"/>
          <w:color w:val="auto"/>
          <w:kern w:val="0"/>
          <w:highlight w:val="none"/>
        </w:rPr>
        <w:t>本工程实际占用及扰动面积为</w:t>
      </w:r>
      <w:r>
        <w:rPr>
          <w:rFonts w:hint="eastAsia"/>
          <w:color w:val="auto"/>
          <w:kern w:val="0"/>
          <w:highlight w:val="none"/>
          <w:lang w:val="en-US" w:eastAsia="zh-CN"/>
        </w:rPr>
        <w:t>8.49</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w:t>
      </w:r>
      <w:r>
        <w:rPr>
          <w:rFonts w:hint="eastAsia"/>
          <w:color w:val="auto"/>
          <w:kern w:val="0"/>
          <w:highlight w:val="none"/>
          <w:lang w:val="en-US" w:eastAsia="zh-CN"/>
        </w:rPr>
        <w:t>该</w:t>
      </w:r>
      <w:r>
        <w:rPr>
          <w:rFonts w:hint="eastAsia"/>
          <w:color w:val="auto"/>
          <w:highlight w:val="none"/>
          <w:lang w:val="en-US" w:eastAsia="zh-CN"/>
        </w:rPr>
        <w:t>项目位于规划衡阳市廻雁峰•巷荫岭棚户区改造项目的地下，该项目地上为规划衡阳市廻雁峰•巷荫岭棚户区改造项目。</w:t>
      </w:r>
      <w:r>
        <w:rPr>
          <w:rFonts w:hint="eastAsia"/>
          <w:color w:val="auto"/>
          <w:kern w:val="0"/>
          <w:highlight w:val="none"/>
        </w:rPr>
        <w:t xml:space="preserve"> </w:t>
      </w:r>
    </w:p>
    <w:p>
      <w:pPr>
        <w:bidi w:val="0"/>
        <w:rPr>
          <w:rFonts w:hint="default"/>
          <w:color w:val="auto"/>
          <w:highlight w:val="none"/>
          <w:lang w:val="en-US"/>
        </w:rPr>
      </w:pPr>
    </w:p>
    <w:p>
      <w:pPr>
        <w:widowControl/>
        <w:jc w:val="left"/>
        <w:rPr>
          <w:color w:val="auto"/>
          <w:kern w:val="0"/>
          <w:highlight w:val="none"/>
        </w:rPr>
      </w:pPr>
      <w:r>
        <w:rPr>
          <w:rFonts w:hint="eastAsia"/>
          <w:color w:val="auto"/>
          <w:kern w:val="0"/>
          <w:highlight w:val="none"/>
        </w:rPr>
        <w:t xml:space="preserve"> </w:t>
      </w:r>
    </w:p>
    <w:p>
      <w:pPr>
        <w:widowControl/>
        <w:jc w:val="left"/>
        <w:rPr>
          <w:rFonts w:hint="eastAsia" w:ascii="Times New Roman" w:hAnsi="Times New Roman" w:eastAsia="宋体"/>
          <w:color w:val="auto"/>
          <w:kern w:val="0"/>
          <w:sz w:val="16"/>
          <w:szCs w:val="16"/>
          <w:highlight w:val="none"/>
        </w:rPr>
      </w:pPr>
      <w:r>
        <w:rPr>
          <w:rFonts w:ascii="Times New Roman" w:hAnsi="Times New Roman"/>
          <w:color w:val="auto"/>
          <w:kern w:val="0"/>
          <w:sz w:val="16"/>
          <w:szCs w:val="16"/>
          <w:highlight w:val="none"/>
        </w:rPr>
        <w:t xml:space="preserve"> </w:t>
      </w:r>
    </w:p>
    <w:p>
      <w:pPr>
        <w:jc w:val="left"/>
        <w:rPr>
          <w:color w:val="auto"/>
          <w:highlight w:val="none"/>
        </w:rPr>
        <w:sectPr>
          <w:pgSz w:w="11906" w:h="16838"/>
          <w:pgMar w:top="1440" w:right="1440" w:bottom="1440" w:left="1440" w:header="851" w:footer="992" w:gutter="0"/>
          <w:cols w:space="0" w:num="1"/>
          <w:rtlGutter w:val="0"/>
          <w:docGrid w:type="lines" w:linePitch="312" w:charSpace="0"/>
        </w:sectPr>
      </w:pPr>
    </w:p>
    <w:p>
      <w:pPr>
        <w:pStyle w:val="3"/>
        <w:bidi w:val="0"/>
        <w:rPr>
          <w:color w:val="auto"/>
          <w:highlight w:val="none"/>
        </w:rPr>
      </w:pPr>
      <w:bookmarkStart w:id="37" w:name="_Toc15988"/>
      <w:r>
        <w:rPr>
          <w:color w:val="auto"/>
          <w:highlight w:val="none"/>
        </w:rPr>
        <w:t xml:space="preserve">7 </w:t>
      </w:r>
      <w:r>
        <w:rPr>
          <w:rFonts w:hint="eastAsia"/>
          <w:color w:val="auto"/>
          <w:highlight w:val="none"/>
        </w:rPr>
        <w:t>结论</w:t>
      </w:r>
      <w:bookmarkEnd w:id="37"/>
      <w:r>
        <w:rPr>
          <w:rFonts w:hint="eastAsia"/>
          <w:color w:val="auto"/>
          <w:highlight w:val="none"/>
        </w:rPr>
        <w:t xml:space="preserve"> </w:t>
      </w:r>
    </w:p>
    <w:p>
      <w:pPr>
        <w:pStyle w:val="4"/>
        <w:bidi w:val="0"/>
        <w:rPr>
          <w:color w:val="auto"/>
          <w:highlight w:val="none"/>
        </w:rPr>
      </w:pPr>
      <w:bookmarkStart w:id="38" w:name="_Toc19425"/>
      <w:r>
        <w:rPr>
          <w:color w:val="auto"/>
          <w:highlight w:val="none"/>
        </w:rPr>
        <w:t xml:space="preserve">7.1 </w:t>
      </w:r>
      <w:r>
        <w:rPr>
          <w:rFonts w:hint="eastAsia"/>
          <w:color w:val="auto"/>
          <w:highlight w:val="none"/>
        </w:rPr>
        <w:t>水土流失动态变化</w:t>
      </w:r>
      <w:bookmarkEnd w:id="38"/>
      <w:r>
        <w:rPr>
          <w:rFonts w:hint="eastAsia"/>
          <w:color w:val="auto"/>
          <w:highlight w:val="none"/>
        </w:rPr>
        <w:t xml:space="preserve"> </w:t>
      </w:r>
    </w:p>
    <w:p>
      <w:pPr>
        <w:widowControl/>
        <w:jc w:val="left"/>
        <w:rPr>
          <w:color w:val="auto"/>
          <w:highlight w:val="none"/>
        </w:rPr>
      </w:pPr>
      <w:r>
        <w:rPr>
          <w:rFonts w:hint="eastAsia"/>
          <w:color w:val="auto"/>
          <w:kern w:val="0"/>
          <w:highlight w:val="none"/>
        </w:rPr>
        <w:t>根据监测成果，本工程扰动地表面积</w:t>
      </w:r>
      <w:r>
        <w:rPr>
          <w:rFonts w:hint="eastAsia"/>
          <w:color w:val="auto"/>
          <w:kern w:val="0"/>
          <w:highlight w:val="none"/>
          <w:lang w:val="en-US" w:eastAsia="zh-CN"/>
        </w:rPr>
        <w:t>8.49</w:t>
      </w:r>
      <w:r>
        <w:rPr>
          <w:rFonts w:ascii="Times New Roman" w:hAnsi="Times New Roman"/>
          <w:color w:val="auto"/>
          <w:kern w:val="0"/>
          <w:highlight w:val="none"/>
        </w:rPr>
        <w:t>h</w:t>
      </w:r>
      <w:r>
        <w:rPr>
          <w:rFonts w:hint="eastAsia" w:ascii="Times New Roman" w:hAnsi="Times New Roman"/>
          <w:color w:val="auto"/>
          <w:kern w:val="0"/>
          <w:highlight w:val="none"/>
          <w:lang w:eastAsia="zh-CN"/>
        </w:rPr>
        <w:t>㎡</w:t>
      </w:r>
      <w:r>
        <w:rPr>
          <w:rFonts w:ascii="Times New Roman" w:hAnsi="Times New Roman"/>
          <w:color w:val="auto"/>
          <w:kern w:val="0"/>
          <w:sz w:val="16"/>
          <w:szCs w:val="16"/>
          <w:highlight w:val="none"/>
        </w:rPr>
        <w:t xml:space="preserve"> </w:t>
      </w:r>
      <w:r>
        <w:rPr>
          <w:rFonts w:hint="eastAsia"/>
          <w:color w:val="auto"/>
          <w:kern w:val="0"/>
          <w:highlight w:val="none"/>
        </w:rPr>
        <w:t>，建设过程中新增水土流失总量为</w:t>
      </w:r>
      <w:r>
        <w:rPr>
          <w:rFonts w:hint="eastAsia" w:ascii="Times New Roman" w:hAnsi="Times New Roman"/>
          <w:color w:val="auto"/>
          <w:kern w:val="0"/>
          <w:highlight w:val="none"/>
          <w:lang w:val="en-US" w:eastAsia="zh-CN"/>
        </w:rPr>
        <w:t>957</w:t>
      </w:r>
      <w:r>
        <w:rPr>
          <w:rFonts w:ascii="Times New Roman" w:hAnsi="Times New Roman"/>
          <w:color w:val="auto"/>
          <w:kern w:val="0"/>
          <w:highlight w:val="none"/>
        </w:rPr>
        <w:t>t</w:t>
      </w:r>
      <w:r>
        <w:rPr>
          <w:rFonts w:hint="eastAsia"/>
          <w:color w:val="auto"/>
          <w:kern w:val="0"/>
          <w:highlight w:val="none"/>
        </w:rPr>
        <w:t>，施工期</w:t>
      </w:r>
      <w:r>
        <w:rPr>
          <w:rFonts w:hint="eastAsia" w:ascii="Times New Roman" w:hAnsi="Times New Roman"/>
          <w:color w:val="auto"/>
          <w:kern w:val="0"/>
          <w:highlight w:val="none"/>
          <w:lang w:val="en-US" w:eastAsia="zh-CN"/>
        </w:rPr>
        <w:t>792</w:t>
      </w:r>
      <w:r>
        <w:rPr>
          <w:rFonts w:ascii="Times New Roman" w:hAnsi="Times New Roman"/>
          <w:color w:val="auto"/>
          <w:kern w:val="0"/>
          <w:highlight w:val="none"/>
        </w:rPr>
        <w:t>t</w:t>
      </w:r>
      <w:r>
        <w:rPr>
          <w:rFonts w:hint="eastAsia"/>
          <w:color w:val="auto"/>
          <w:kern w:val="0"/>
          <w:highlight w:val="none"/>
        </w:rPr>
        <w:t xml:space="preserve">。 </w:t>
      </w:r>
    </w:p>
    <w:p>
      <w:pPr>
        <w:widowControl/>
        <w:jc w:val="left"/>
        <w:rPr>
          <w:color w:val="auto"/>
          <w:highlight w:val="none"/>
        </w:rPr>
      </w:pPr>
      <w:r>
        <w:rPr>
          <w:rFonts w:hint="eastAsia"/>
          <w:color w:val="auto"/>
          <w:kern w:val="0"/>
          <w:highlight w:val="none"/>
        </w:rPr>
        <w:t>施工期内，水土保持工程措施基本与主体工程基本同时进行，但植物措施略有滞后</w:t>
      </w:r>
      <w:r>
        <w:rPr>
          <w:rFonts w:hint="eastAsia"/>
          <w:color w:val="auto"/>
          <w:kern w:val="0"/>
          <w:highlight w:val="none"/>
          <w:lang w:eastAsia="zh-CN"/>
        </w:rPr>
        <w:t>，</w:t>
      </w:r>
      <w:r>
        <w:rPr>
          <w:rFonts w:hint="eastAsia"/>
          <w:color w:val="auto"/>
          <w:kern w:val="0"/>
          <w:highlight w:val="none"/>
        </w:rPr>
        <w:t>各项水土保持措施至施工期末才开始发挥效益，施工期内水土流失量较大，土壤流失控 制比还未达到目标值，至植被恢复期，各项指标达到或超过本工程设置的水土流失防治 标准，水土流失基本得到控制</w:t>
      </w:r>
      <w:r>
        <w:rPr>
          <w:rFonts w:hint="eastAsia"/>
          <w:color w:val="auto"/>
          <w:kern w:val="0"/>
          <w:highlight w:val="none"/>
          <w:lang w:eastAsia="zh-CN"/>
        </w:rPr>
        <w:t>，</w:t>
      </w:r>
      <w:r>
        <w:rPr>
          <w:rFonts w:hint="eastAsia"/>
          <w:color w:val="auto"/>
          <w:kern w:val="0"/>
          <w:highlight w:val="none"/>
        </w:rPr>
        <w:t xml:space="preserve">有效地保护和改善项目区的生态环境。 </w:t>
      </w:r>
    </w:p>
    <w:p>
      <w:pPr>
        <w:widowControl/>
        <w:jc w:val="left"/>
        <w:rPr>
          <w:color w:val="auto"/>
          <w:highlight w:val="none"/>
        </w:rPr>
      </w:pPr>
      <w:r>
        <w:rPr>
          <w:rFonts w:hint="eastAsia"/>
          <w:color w:val="auto"/>
          <w:kern w:val="0"/>
          <w:highlight w:val="none"/>
        </w:rPr>
        <w:t xml:space="preserve">本工程水土流失防治目标达标情况见表 </w:t>
      </w:r>
      <w:r>
        <w:rPr>
          <w:rFonts w:ascii="Times New Roman" w:hAnsi="Times New Roman"/>
          <w:color w:val="auto"/>
          <w:kern w:val="0"/>
          <w:highlight w:val="none"/>
        </w:rPr>
        <w:t>7.1-1</w:t>
      </w:r>
      <w:r>
        <w:rPr>
          <w:rFonts w:hint="eastAsia"/>
          <w:color w:val="auto"/>
          <w:kern w:val="0"/>
          <w:highlight w:val="none"/>
        </w:rPr>
        <w:t xml:space="preserve">。 </w:t>
      </w:r>
    </w:p>
    <w:p>
      <w:pPr>
        <w:widowControl/>
        <w:jc w:val="center"/>
        <w:rPr>
          <w:rFonts w:hint="eastAsia"/>
          <w:color w:val="auto"/>
          <w:kern w:val="0"/>
          <w:highlight w:val="none"/>
        </w:rPr>
      </w:pPr>
      <w:r>
        <w:rPr>
          <w:rFonts w:hint="eastAsia"/>
          <w:color w:val="auto"/>
          <w:kern w:val="0"/>
          <w:highlight w:val="none"/>
        </w:rPr>
        <w:t xml:space="preserve">表 </w:t>
      </w:r>
      <w:r>
        <w:rPr>
          <w:rFonts w:ascii="Times New Roman" w:hAnsi="Times New Roman"/>
          <w:color w:val="auto"/>
          <w:kern w:val="0"/>
          <w:highlight w:val="none"/>
        </w:rPr>
        <w:t xml:space="preserve">7.1-1 </w:t>
      </w:r>
      <w:r>
        <w:rPr>
          <w:rFonts w:hint="eastAsia"/>
          <w:color w:val="auto"/>
          <w:kern w:val="0"/>
          <w:highlight w:val="none"/>
        </w:rPr>
        <w:t>本工程水土流失防治目标达标情况表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69"/>
        <w:gridCol w:w="1971"/>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69"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序号</w:t>
            </w:r>
          </w:p>
        </w:tc>
        <w:tc>
          <w:tcPr>
            <w:tcW w:w="1971"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指标</w:t>
            </w:r>
          </w:p>
        </w:tc>
        <w:tc>
          <w:tcPr>
            <w:tcW w:w="1420" w:type="dxa"/>
            <w:vMerge w:val="restart"/>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单位</w:t>
            </w:r>
          </w:p>
        </w:tc>
        <w:tc>
          <w:tcPr>
            <w:tcW w:w="4262" w:type="dxa"/>
            <w:gridSpan w:val="3"/>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水土流失防治标准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69" w:type="dxa"/>
            <w:vMerge w:val="continue"/>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p>
        </w:tc>
        <w:tc>
          <w:tcPr>
            <w:tcW w:w="1971" w:type="dxa"/>
            <w:vMerge w:val="continue"/>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420" w:type="dxa"/>
            <w:vMerge w:val="continue"/>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p>
        </w:tc>
        <w:tc>
          <w:tcPr>
            <w:tcW w:w="14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方案报告书确定的防治标准</w:t>
            </w:r>
          </w:p>
        </w:tc>
        <w:tc>
          <w:tcPr>
            <w:tcW w:w="142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本工程实际防治标准</w:t>
            </w:r>
          </w:p>
        </w:tc>
        <w:tc>
          <w:tcPr>
            <w:tcW w:w="142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9"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197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扰动土地整治率</w:t>
            </w:r>
          </w:p>
        </w:tc>
        <w:tc>
          <w:tcPr>
            <w:tcW w:w="1420"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c>
          <w:tcPr>
            <w:tcW w:w="14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95</w:t>
            </w:r>
          </w:p>
        </w:tc>
        <w:tc>
          <w:tcPr>
            <w:tcW w:w="142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98.77</w:t>
            </w:r>
          </w:p>
        </w:tc>
        <w:tc>
          <w:tcPr>
            <w:tcW w:w="1421"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69"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w:t>
            </w:r>
          </w:p>
        </w:tc>
        <w:tc>
          <w:tcPr>
            <w:tcW w:w="197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水土流失总治理度</w:t>
            </w:r>
          </w:p>
        </w:tc>
        <w:tc>
          <w:tcPr>
            <w:tcW w:w="1420"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c>
          <w:tcPr>
            <w:tcW w:w="14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98</w:t>
            </w:r>
          </w:p>
        </w:tc>
        <w:tc>
          <w:tcPr>
            <w:tcW w:w="142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96.09</w:t>
            </w:r>
          </w:p>
        </w:tc>
        <w:tc>
          <w:tcPr>
            <w:tcW w:w="1421"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69"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3</w:t>
            </w:r>
          </w:p>
        </w:tc>
        <w:tc>
          <w:tcPr>
            <w:tcW w:w="197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土壤流失控制比</w:t>
            </w:r>
          </w:p>
        </w:tc>
        <w:tc>
          <w:tcPr>
            <w:tcW w:w="1420"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c>
          <w:tcPr>
            <w:tcW w:w="14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142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1</w:t>
            </w:r>
          </w:p>
        </w:tc>
        <w:tc>
          <w:tcPr>
            <w:tcW w:w="1421"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69"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4</w:t>
            </w:r>
          </w:p>
        </w:tc>
        <w:tc>
          <w:tcPr>
            <w:tcW w:w="197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拦渣率</w:t>
            </w:r>
          </w:p>
        </w:tc>
        <w:tc>
          <w:tcPr>
            <w:tcW w:w="1420"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c>
          <w:tcPr>
            <w:tcW w:w="14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95</w:t>
            </w:r>
          </w:p>
        </w:tc>
        <w:tc>
          <w:tcPr>
            <w:tcW w:w="142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96.2</w:t>
            </w:r>
          </w:p>
        </w:tc>
        <w:tc>
          <w:tcPr>
            <w:tcW w:w="1421"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69"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5</w:t>
            </w:r>
          </w:p>
        </w:tc>
        <w:tc>
          <w:tcPr>
            <w:tcW w:w="197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林草植被恢复率</w:t>
            </w:r>
          </w:p>
        </w:tc>
        <w:tc>
          <w:tcPr>
            <w:tcW w:w="1420"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c>
          <w:tcPr>
            <w:tcW w:w="14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99</w:t>
            </w:r>
          </w:p>
        </w:tc>
        <w:tc>
          <w:tcPr>
            <w:tcW w:w="142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99.50</w:t>
            </w:r>
          </w:p>
        </w:tc>
        <w:tc>
          <w:tcPr>
            <w:tcW w:w="1421" w:type="dxa"/>
            <w:vAlign w:val="center"/>
          </w:tcPr>
          <w:p>
            <w:pPr>
              <w:widowControl/>
              <w:spacing w:line="240" w:lineRule="auto"/>
              <w:ind w:left="0" w:leftChars="0" w:firstLine="0" w:firstLineChars="0"/>
              <w:jc w:val="center"/>
              <w:rPr>
                <w:rFonts w:hint="eastAsia"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69"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6</w:t>
            </w:r>
          </w:p>
        </w:tc>
        <w:tc>
          <w:tcPr>
            <w:tcW w:w="197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林草覆盖率</w:t>
            </w:r>
          </w:p>
        </w:tc>
        <w:tc>
          <w:tcPr>
            <w:tcW w:w="14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w:t>
            </w:r>
          </w:p>
        </w:tc>
        <w:tc>
          <w:tcPr>
            <w:tcW w:w="1420"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28</w:t>
            </w:r>
          </w:p>
        </w:tc>
        <w:tc>
          <w:tcPr>
            <w:tcW w:w="142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28.05</w:t>
            </w:r>
          </w:p>
        </w:tc>
        <w:tc>
          <w:tcPr>
            <w:tcW w:w="1421" w:type="dxa"/>
            <w:vAlign w:val="center"/>
          </w:tcPr>
          <w:p>
            <w:pPr>
              <w:widowControl/>
              <w:spacing w:line="240" w:lineRule="auto"/>
              <w:ind w:left="0" w:leftChars="0" w:firstLine="0" w:firstLineChars="0"/>
              <w:jc w:val="center"/>
              <w:rPr>
                <w:rFonts w:hint="default" w:ascii="Times New Roman" w:hAnsi="Times New Roman"/>
                <w:color w:val="auto"/>
                <w:kern w:val="0"/>
                <w:sz w:val="21"/>
                <w:szCs w:val="21"/>
                <w:highlight w:val="none"/>
                <w:vertAlign w:val="baseline"/>
                <w:lang w:val="en-US" w:eastAsia="zh-CN"/>
              </w:rPr>
            </w:pPr>
            <w:r>
              <w:rPr>
                <w:rFonts w:hint="eastAsia" w:ascii="Times New Roman" w:hAnsi="Times New Roman"/>
                <w:color w:val="auto"/>
                <w:kern w:val="0"/>
                <w:sz w:val="21"/>
                <w:szCs w:val="21"/>
                <w:highlight w:val="none"/>
                <w:vertAlign w:val="baseline"/>
                <w:lang w:val="en-US" w:eastAsia="zh-CN"/>
              </w:rPr>
              <w:t>达标</w:t>
            </w:r>
          </w:p>
        </w:tc>
      </w:tr>
    </w:tbl>
    <w:p>
      <w:pPr>
        <w:pStyle w:val="4"/>
        <w:bidi w:val="0"/>
        <w:rPr>
          <w:color w:val="auto"/>
          <w:highlight w:val="none"/>
        </w:rPr>
      </w:pPr>
      <w:bookmarkStart w:id="39" w:name="_Toc4141"/>
      <w:r>
        <w:rPr>
          <w:rFonts w:hint="default"/>
          <w:color w:val="auto"/>
          <w:highlight w:val="none"/>
        </w:rPr>
        <w:t>7.2</w:t>
      </w:r>
      <w:r>
        <w:rPr>
          <w:color w:val="auto"/>
          <w:highlight w:val="none"/>
        </w:rPr>
        <w:t xml:space="preserve"> </w:t>
      </w:r>
      <w:r>
        <w:rPr>
          <w:rFonts w:hint="eastAsia"/>
          <w:color w:val="auto"/>
          <w:highlight w:val="none"/>
        </w:rPr>
        <w:t>水土保持措施评价</w:t>
      </w:r>
      <w:bookmarkEnd w:id="39"/>
      <w:r>
        <w:rPr>
          <w:rFonts w:hint="eastAsia"/>
          <w:color w:val="auto"/>
          <w:highlight w:val="none"/>
        </w:rPr>
        <w:t xml:space="preserve"> </w:t>
      </w:r>
    </w:p>
    <w:p>
      <w:pPr>
        <w:widowControl/>
        <w:jc w:val="left"/>
        <w:rPr>
          <w:color w:val="auto"/>
          <w:highlight w:val="none"/>
        </w:rPr>
      </w:pPr>
      <w:r>
        <w:rPr>
          <w:rFonts w:hint="eastAsia"/>
          <w:color w:val="auto"/>
          <w:kern w:val="0"/>
          <w:highlight w:val="none"/>
        </w:rPr>
        <w:t xml:space="preserve">本工程在施工过程中比较重视水土保持工作，能够认真及时落实各项水土保持防治 措施，特别是能够及时实施临时措施，工程措施与主体工程同步实施，施工结束后及时 进行绿化、土地整治，整体上取得了较好的防治效果。 </w:t>
      </w:r>
    </w:p>
    <w:p>
      <w:pPr>
        <w:widowControl/>
        <w:jc w:val="left"/>
        <w:rPr>
          <w:color w:val="auto"/>
          <w:highlight w:val="none"/>
        </w:rPr>
      </w:pPr>
      <w:r>
        <w:rPr>
          <w:rFonts w:hint="eastAsia"/>
          <w:color w:val="auto"/>
          <w:kern w:val="0"/>
          <w:highlight w:val="none"/>
        </w:rPr>
        <w:t>（</w:t>
      </w:r>
      <w:r>
        <w:rPr>
          <w:rFonts w:ascii="Times New Roman" w:hAnsi="Times New Roman"/>
          <w:color w:val="auto"/>
          <w:kern w:val="0"/>
          <w:highlight w:val="none"/>
        </w:rPr>
        <w:t>1</w:t>
      </w:r>
      <w:r>
        <w:rPr>
          <w:rFonts w:hint="eastAsia"/>
          <w:color w:val="auto"/>
          <w:kern w:val="0"/>
          <w:highlight w:val="none"/>
        </w:rPr>
        <w:t>）本工程在施工中，基本能够按照水土保持方案布设的水土保持措施及相关法 律法规实施水土保持防治措施，质量达标。水土保持措施建设与主体工程实现了</w:t>
      </w:r>
      <w:r>
        <w:rPr>
          <w:rFonts w:ascii="Times New Roman" w:hAnsi="Times New Roman"/>
          <w:color w:val="auto"/>
          <w:kern w:val="0"/>
          <w:highlight w:val="none"/>
        </w:rPr>
        <w:t>“</w:t>
      </w:r>
      <w:r>
        <w:rPr>
          <w:rFonts w:hint="eastAsia"/>
          <w:color w:val="auto"/>
          <w:kern w:val="0"/>
          <w:highlight w:val="none"/>
        </w:rPr>
        <w:t>三同 时</w:t>
      </w:r>
      <w:r>
        <w:rPr>
          <w:rFonts w:ascii="Times New Roman" w:hAnsi="Times New Roman"/>
          <w:color w:val="auto"/>
          <w:kern w:val="0"/>
          <w:highlight w:val="none"/>
        </w:rPr>
        <w:t>”</w:t>
      </w:r>
      <w:r>
        <w:rPr>
          <w:rFonts w:hint="eastAsia"/>
          <w:color w:val="auto"/>
          <w:kern w:val="0"/>
          <w:highlight w:val="none"/>
        </w:rPr>
        <w:t xml:space="preserve">原则。 </w:t>
      </w:r>
    </w:p>
    <w:p>
      <w:pPr>
        <w:widowControl/>
        <w:jc w:val="left"/>
        <w:rPr>
          <w:color w:val="auto"/>
          <w:highlight w:val="none"/>
        </w:rPr>
      </w:pPr>
      <w:r>
        <w:rPr>
          <w:rFonts w:hint="eastAsia"/>
          <w:color w:val="auto"/>
          <w:kern w:val="0"/>
          <w:highlight w:val="none"/>
        </w:rPr>
        <w:t>（</w:t>
      </w:r>
      <w:r>
        <w:rPr>
          <w:rFonts w:ascii="Times New Roman" w:hAnsi="Times New Roman"/>
          <w:color w:val="auto"/>
          <w:kern w:val="0"/>
          <w:highlight w:val="none"/>
        </w:rPr>
        <w:t>2</w:t>
      </w:r>
      <w:r>
        <w:rPr>
          <w:rFonts w:hint="eastAsia"/>
          <w:color w:val="auto"/>
          <w:kern w:val="0"/>
          <w:highlight w:val="none"/>
        </w:rPr>
        <w:t xml:space="preserve">）各项水土保持措施布局基本合理，防治效果效果明显。原报告制定的六项指标值均达到水土保持方案预定的目标值。 </w:t>
      </w:r>
    </w:p>
    <w:p>
      <w:pPr>
        <w:widowControl/>
        <w:jc w:val="left"/>
        <w:rPr>
          <w:rFonts w:hint="eastAsia" w:eastAsia="仿宋"/>
          <w:color w:val="auto"/>
          <w:highlight w:val="none"/>
          <w:lang w:eastAsia="zh-CN"/>
        </w:rPr>
      </w:pPr>
      <w:r>
        <w:rPr>
          <w:rFonts w:hint="eastAsia"/>
          <w:color w:val="auto"/>
          <w:kern w:val="0"/>
          <w:highlight w:val="none"/>
        </w:rPr>
        <w:t>（</w:t>
      </w:r>
      <w:r>
        <w:rPr>
          <w:rFonts w:ascii="Times New Roman" w:hAnsi="Times New Roman"/>
          <w:color w:val="auto"/>
          <w:kern w:val="0"/>
          <w:highlight w:val="none"/>
        </w:rPr>
        <w:t>3</w:t>
      </w:r>
      <w:r>
        <w:rPr>
          <w:rFonts w:hint="eastAsia"/>
          <w:color w:val="auto"/>
          <w:kern w:val="0"/>
          <w:highlight w:val="none"/>
        </w:rPr>
        <w:t>）由于报告编制时，工程处于可研阶段，设计的各项水保措施在后期施工中有所变更，相应的防治措施的实施的工程量与方案设计的相比，个别防治措施与工程量有所变化</w:t>
      </w:r>
      <w:r>
        <w:rPr>
          <w:rFonts w:hint="eastAsia"/>
          <w:color w:val="auto"/>
          <w:kern w:val="0"/>
          <w:highlight w:val="none"/>
          <w:lang w:eastAsia="zh-CN"/>
        </w:rPr>
        <w:t>。</w:t>
      </w:r>
    </w:p>
    <w:p>
      <w:pPr>
        <w:pStyle w:val="4"/>
        <w:bidi w:val="0"/>
        <w:rPr>
          <w:color w:val="auto"/>
          <w:highlight w:val="none"/>
        </w:rPr>
      </w:pPr>
      <w:bookmarkStart w:id="40" w:name="_Toc15808"/>
      <w:r>
        <w:rPr>
          <w:color w:val="auto"/>
          <w:highlight w:val="none"/>
        </w:rPr>
        <w:t xml:space="preserve">7.3 </w:t>
      </w:r>
      <w:r>
        <w:rPr>
          <w:rFonts w:hint="eastAsia"/>
          <w:color w:val="auto"/>
          <w:highlight w:val="none"/>
        </w:rPr>
        <w:t>存在问题及建议</w:t>
      </w:r>
      <w:bookmarkEnd w:id="40"/>
      <w:r>
        <w:rPr>
          <w:rFonts w:hint="eastAsia"/>
          <w:color w:val="auto"/>
          <w:highlight w:val="none"/>
        </w:rPr>
        <w:t xml:space="preserve"> </w:t>
      </w:r>
    </w:p>
    <w:p>
      <w:pPr>
        <w:widowControl/>
        <w:jc w:val="left"/>
        <w:rPr>
          <w:color w:val="auto"/>
          <w:highlight w:val="none"/>
        </w:rPr>
      </w:pPr>
      <w:r>
        <w:rPr>
          <w:rFonts w:hint="eastAsia"/>
          <w:color w:val="auto"/>
          <w:kern w:val="0"/>
          <w:highlight w:val="none"/>
        </w:rPr>
        <w:t>本工程目前已经进入试运行阶段，经监测期实际调查，现阶段仍存在的一些问题</w:t>
      </w:r>
      <w:r>
        <w:rPr>
          <w:rFonts w:hint="eastAsia"/>
          <w:color w:val="auto"/>
          <w:kern w:val="0"/>
          <w:highlight w:val="none"/>
          <w:lang w:eastAsia="zh-CN"/>
        </w:rPr>
        <w:t>，</w:t>
      </w:r>
      <w:r>
        <w:rPr>
          <w:rFonts w:hint="eastAsia"/>
          <w:color w:val="auto"/>
          <w:kern w:val="0"/>
          <w:highlight w:val="none"/>
        </w:rPr>
        <w:t xml:space="preserve">针对部分问题提出以下建议： </w:t>
      </w:r>
    </w:p>
    <w:p>
      <w:pPr>
        <w:widowControl/>
        <w:jc w:val="left"/>
        <w:rPr>
          <w:color w:val="auto"/>
          <w:highlight w:val="none"/>
        </w:rPr>
      </w:pPr>
      <w:r>
        <w:rPr>
          <w:rFonts w:hint="eastAsia"/>
          <w:color w:val="auto"/>
          <w:kern w:val="0"/>
          <w:highlight w:val="none"/>
        </w:rPr>
        <w:t>（</w:t>
      </w:r>
      <w:r>
        <w:rPr>
          <w:rFonts w:ascii="Times New Roman" w:hAnsi="Times New Roman"/>
          <w:color w:val="auto"/>
          <w:kern w:val="0"/>
          <w:highlight w:val="none"/>
        </w:rPr>
        <w:t>1</w:t>
      </w:r>
      <w:r>
        <w:rPr>
          <w:rFonts w:hint="eastAsia"/>
          <w:color w:val="auto"/>
          <w:kern w:val="0"/>
          <w:highlight w:val="none"/>
        </w:rPr>
        <w:t xml:space="preserve">）虽然目前项目建设已经全部结束，工程进入试运行阶段，但部分绿化工程实 施不完善，部分地段长势较差，建议运行管理单位加强植物措施维护抚育工作，使其更 好的发挥其水土保持功能。 </w:t>
      </w:r>
    </w:p>
    <w:p>
      <w:pPr>
        <w:widowControl/>
        <w:jc w:val="left"/>
        <w:rPr>
          <w:color w:val="auto"/>
          <w:highlight w:val="none"/>
        </w:rPr>
      </w:pPr>
      <w:r>
        <w:rPr>
          <w:rFonts w:hint="eastAsia"/>
          <w:color w:val="auto"/>
          <w:kern w:val="0"/>
          <w:highlight w:val="none"/>
        </w:rPr>
        <w:t>（</w:t>
      </w:r>
      <w:r>
        <w:rPr>
          <w:rFonts w:ascii="Times New Roman" w:hAnsi="Times New Roman"/>
          <w:color w:val="auto"/>
          <w:kern w:val="0"/>
          <w:highlight w:val="none"/>
        </w:rPr>
        <w:t>2</w:t>
      </w:r>
      <w:r>
        <w:rPr>
          <w:rFonts w:hint="eastAsia"/>
          <w:color w:val="auto"/>
          <w:kern w:val="0"/>
          <w:highlight w:val="none"/>
        </w:rPr>
        <w:t xml:space="preserve">）建议建设单位及时完善水土保持工程相关资料的归档和整理，做好水土保持设施验收准备。 </w:t>
      </w:r>
    </w:p>
    <w:p>
      <w:pPr>
        <w:widowControl/>
        <w:jc w:val="left"/>
        <w:rPr>
          <w:color w:val="auto"/>
          <w:highlight w:val="none"/>
        </w:rPr>
      </w:pPr>
      <w:r>
        <w:rPr>
          <w:rFonts w:hint="eastAsia"/>
          <w:color w:val="auto"/>
          <w:kern w:val="0"/>
          <w:highlight w:val="none"/>
        </w:rPr>
        <w:t>（</w:t>
      </w:r>
      <w:r>
        <w:rPr>
          <w:rFonts w:ascii="Times New Roman" w:hAnsi="Times New Roman"/>
          <w:color w:val="auto"/>
          <w:kern w:val="0"/>
          <w:highlight w:val="none"/>
        </w:rPr>
        <w:t>3</w:t>
      </w:r>
      <w:r>
        <w:rPr>
          <w:rFonts w:hint="eastAsia"/>
          <w:color w:val="auto"/>
          <w:kern w:val="0"/>
          <w:highlight w:val="none"/>
        </w:rPr>
        <w:t xml:space="preserve">）建议制定排水沟清淤计划，定期对场内排水沟进行清淤； </w:t>
      </w:r>
    </w:p>
    <w:p>
      <w:pPr>
        <w:widowControl/>
        <w:jc w:val="left"/>
        <w:rPr>
          <w:color w:val="auto"/>
          <w:highlight w:val="none"/>
        </w:rPr>
      </w:pPr>
      <w:r>
        <w:rPr>
          <w:rFonts w:hint="eastAsia"/>
          <w:color w:val="auto"/>
          <w:kern w:val="0"/>
          <w:highlight w:val="none"/>
        </w:rPr>
        <w:t>（</w:t>
      </w:r>
      <w:r>
        <w:rPr>
          <w:rFonts w:ascii="Times New Roman" w:hAnsi="Times New Roman"/>
          <w:color w:val="auto"/>
          <w:kern w:val="0"/>
          <w:highlight w:val="none"/>
        </w:rPr>
        <w:t>4</w:t>
      </w:r>
      <w:r>
        <w:rPr>
          <w:rFonts w:hint="eastAsia"/>
          <w:color w:val="auto"/>
          <w:kern w:val="0"/>
          <w:highlight w:val="none"/>
        </w:rPr>
        <w:t xml:space="preserve">）落实水土保持工程措施的运行维护责任；加强项目区内林草措施管护，提高 植物成活率。 </w:t>
      </w:r>
    </w:p>
    <w:p>
      <w:pPr>
        <w:pStyle w:val="4"/>
        <w:bidi w:val="0"/>
        <w:rPr>
          <w:color w:val="auto"/>
          <w:highlight w:val="none"/>
        </w:rPr>
      </w:pPr>
      <w:bookmarkStart w:id="41" w:name="_Toc17676"/>
      <w:r>
        <w:rPr>
          <w:color w:val="auto"/>
          <w:highlight w:val="none"/>
        </w:rPr>
        <w:t xml:space="preserve">7.4 </w:t>
      </w:r>
      <w:r>
        <w:rPr>
          <w:rFonts w:hint="eastAsia"/>
          <w:color w:val="auto"/>
          <w:highlight w:val="none"/>
        </w:rPr>
        <w:t>综合结论</w:t>
      </w:r>
      <w:bookmarkEnd w:id="41"/>
      <w:r>
        <w:rPr>
          <w:rFonts w:hint="eastAsia"/>
          <w:color w:val="auto"/>
          <w:highlight w:val="none"/>
        </w:rPr>
        <w:t xml:space="preserve"> </w:t>
      </w:r>
    </w:p>
    <w:p>
      <w:pPr>
        <w:widowControl/>
        <w:jc w:val="left"/>
        <w:rPr>
          <w:color w:val="auto"/>
          <w:highlight w:val="none"/>
        </w:rPr>
      </w:pPr>
      <w:r>
        <w:rPr>
          <w:rFonts w:hint="eastAsia"/>
          <w:color w:val="auto"/>
          <w:kern w:val="0"/>
          <w:highlight w:val="none"/>
        </w:rPr>
        <w:t>（</w:t>
      </w:r>
      <w:r>
        <w:rPr>
          <w:rFonts w:ascii="Times New Roman" w:hAnsi="Times New Roman"/>
          <w:color w:val="auto"/>
          <w:kern w:val="0"/>
          <w:highlight w:val="none"/>
        </w:rPr>
        <w:t>1</w:t>
      </w:r>
      <w:r>
        <w:rPr>
          <w:rFonts w:hint="eastAsia"/>
          <w:color w:val="auto"/>
          <w:kern w:val="0"/>
          <w:highlight w:val="none"/>
        </w:rPr>
        <w:t>）通过监测期的现场查勘及调查结果并结合施工资料分析表明，建设单位比较 重视水土保持工作，按照水土保持法律法规的规定，依法委托编报了水土保持方案，落实了水土保持工程设计。将水土保持工程建设和管理纳入工作程序中，在工程建设过程中落实了项目法人、设计单位、施工单位、监理单位的水土保持职责人，强化了对水土保持工程的管理，实行</w:t>
      </w:r>
      <w:r>
        <w:rPr>
          <w:rFonts w:ascii="Times New Roman" w:hAnsi="Times New Roman"/>
          <w:color w:val="auto"/>
          <w:kern w:val="0"/>
          <w:highlight w:val="none"/>
        </w:rPr>
        <w:t>“</w:t>
      </w:r>
      <w:r>
        <w:rPr>
          <w:rFonts w:hint="eastAsia"/>
          <w:color w:val="auto"/>
          <w:kern w:val="0"/>
          <w:highlight w:val="none"/>
        </w:rPr>
        <w:t>项目法人对国家负责，监理单位质量控制，施工单位质量保证，政府监督</w:t>
      </w:r>
      <w:r>
        <w:rPr>
          <w:rFonts w:ascii="Times New Roman" w:hAnsi="Times New Roman"/>
          <w:color w:val="auto"/>
          <w:kern w:val="0"/>
          <w:highlight w:val="none"/>
        </w:rPr>
        <w:t>”</w:t>
      </w:r>
      <w:r>
        <w:rPr>
          <w:rFonts w:hint="eastAsia"/>
          <w:color w:val="auto"/>
          <w:kern w:val="0"/>
          <w:highlight w:val="none"/>
        </w:rPr>
        <w:t xml:space="preserve">的质量管理体系，确保了水土保持方案的顺利实施。 </w:t>
      </w:r>
    </w:p>
    <w:p>
      <w:pPr>
        <w:widowControl/>
        <w:jc w:val="left"/>
        <w:rPr>
          <w:color w:val="auto"/>
          <w:highlight w:val="none"/>
        </w:rPr>
      </w:pPr>
      <w:r>
        <w:rPr>
          <w:rFonts w:hint="eastAsia"/>
          <w:color w:val="auto"/>
          <w:kern w:val="0"/>
          <w:highlight w:val="none"/>
        </w:rPr>
        <w:t>（</w:t>
      </w:r>
      <w:r>
        <w:rPr>
          <w:rFonts w:ascii="Times New Roman" w:hAnsi="Times New Roman"/>
          <w:color w:val="auto"/>
          <w:kern w:val="0"/>
          <w:highlight w:val="none"/>
        </w:rPr>
        <w:t>2</w:t>
      </w:r>
      <w:r>
        <w:rPr>
          <w:rFonts w:hint="eastAsia"/>
          <w:color w:val="auto"/>
          <w:kern w:val="0"/>
          <w:highlight w:val="none"/>
        </w:rPr>
        <w:t xml:space="preserve">）本工程沿线水土保持措施布局合理，数量和质量基本达到了保持方案报告书的设计要求。植物措施实施后植被生长情况良好，工程措施无损坏，能起到较好的水土 流失防治作用。 </w:t>
      </w:r>
    </w:p>
    <w:p>
      <w:pPr>
        <w:widowControl/>
        <w:jc w:val="left"/>
        <w:rPr>
          <w:color w:val="auto"/>
          <w:highlight w:val="none"/>
        </w:rPr>
      </w:pPr>
      <w:r>
        <w:rPr>
          <w:rFonts w:hint="eastAsia"/>
          <w:color w:val="auto"/>
          <w:kern w:val="0"/>
          <w:highlight w:val="none"/>
        </w:rPr>
        <w:t>（</w:t>
      </w:r>
      <w:r>
        <w:rPr>
          <w:rFonts w:ascii="Times New Roman" w:hAnsi="Times New Roman"/>
          <w:color w:val="auto"/>
          <w:kern w:val="0"/>
          <w:highlight w:val="none"/>
        </w:rPr>
        <w:t>3</w:t>
      </w:r>
      <w:r>
        <w:rPr>
          <w:rFonts w:hint="eastAsia"/>
          <w:color w:val="auto"/>
          <w:kern w:val="0"/>
          <w:highlight w:val="none"/>
        </w:rPr>
        <w:t xml:space="preserve">）项目建设扰动区经过工程措施、植物措施的实施，水土流失面积和水土流失 强度都逐年递减。项目区的水土流失强度由施工中的中度下降到轻度、微度，有效的将 水土流失控制在较低的范围内。 </w:t>
      </w:r>
    </w:p>
    <w:p>
      <w:pPr>
        <w:widowControl/>
        <w:jc w:val="left"/>
        <w:rPr>
          <w:color w:val="auto"/>
          <w:highlight w:val="none"/>
        </w:rPr>
      </w:pPr>
      <w:r>
        <w:rPr>
          <w:rFonts w:hint="eastAsia"/>
          <w:color w:val="auto"/>
          <w:kern w:val="0"/>
          <w:highlight w:val="none"/>
        </w:rPr>
        <w:t>（</w:t>
      </w:r>
      <w:r>
        <w:rPr>
          <w:rFonts w:ascii="Times New Roman" w:hAnsi="Times New Roman"/>
          <w:color w:val="auto"/>
          <w:kern w:val="0"/>
          <w:highlight w:val="none"/>
        </w:rPr>
        <w:t>4</w:t>
      </w:r>
      <w:r>
        <w:rPr>
          <w:rFonts w:hint="eastAsia"/>
          <w:color w:val="auto"/>
          <w:kern w:val="0"/>
          <w:highlight w:val="none"/>
        </w:rPr>
        <w:t xml:space="preserve">）项目在建设中施工区安排合理、紧凑，施工工艺进行优化，并采取相应的水 土保持防护措施，使扰动面积相应减少，从而减少了水土流失。 </w:t>
      </w:r>
    </w:p>
    <w:p>
      <w:pPr>
        <w:widowControl/>
        <w:jc w:val="left"/>
        <w:rPr>
          <w:color w:val="auto"/>
          <w:highlight w:val="none"/>
        </w:rPr>
      </w:pPr>
      <w:r>
        <w:rPr>
          <w:rFonts w:hint="eastAsia"/>
          <w:color w:val="auto"/>
          <w:kern w:val="0"/>
          <w:highlight w:val="none"/>
        </w:rPr>
        <w:t>综上所述，本工程在项目建设中水土保持措施总体布局合理，防护效果明显，各项 水土流失防治指标均达到水土保持方案设计的目标值，有效的控制了水土流失，保障了主体工程的顺利施工与安全运营。</w:t>
      </w:r>
    </w:p>
    <w:p>
      <w:pPr>
        <w:rPr>
          <w:rFonts w:hint="default" w:eastAsia="仿宋_GB2312" w:cs="宋体"/>
          <w:color w:val="auto"/>
          <w:highlight w:val="none"/>
          <w:lang w:val="en-US" w:eastAsia="zh-CN"/>
        </w:rPr>
        <w:sectPr>
          <w:pgSz w:w="11906" w:h="16838"/>
          <w:pgMar w:top="1440" w:right="1440" w:bottom="1440" w:left="1440" w:header="851" w:footer="992" w:gutter="0"/>
          <w:cols w:space="0" w:num="1"/>
          <w:rtlGutter w:val="0"/>
          <w:docGrid w:type="lines" w:linePitch="312" w:charSpace="0"/>
        </w:sectPr>
      </w:pPr>
    </w:p>
    <w:p>
      <w:pPr>
        <w:pStyle w:val="3"/>
        <w:bidi w:val="0"/>
        <w:rPr>
          <w:color w:val="auto"/>
          <w:highlight w:val="none"/>
        </w:rPr>
      </w:pPr>
      <w:bookmarkStart w:id="42" w:name="_Toc16587"/>
      <w:r>
        <w:rPr>
          <w:color w:val="auto"/>
          <w:highlight w:val="none"/>
        </w:rPr>
        <w:t xml:space="preserve">8 </w:t>
      </w:r>
      <w:r>
        <w:rPr>
          <w:rFonts w:hint="eastAsia"/>
          <w:color w:val="auto"/>
          <w:highlight w:val="none"/>
        </w:rPr>
        <w:t>附图及有关资料</w:t>
      </w:r>
      <w:bookmarkEnd w:id="42"/>
    </w:p>
    <w:p>
      <w:pPr>
        <w:pStyle w:val="4"/>
        <w:bidi w:val="0"/>
        <w:rPr>
          <w:rFonts w:hint="eastAsia" w:eastAsia="仿宋_GB2312"/>
          <w:color w:val="auto"/>
          <w:highlight w:val="none"/>
          <w:lang w:eastAsia="zh-CN"/>
        </w:rPr>
      </w:pPr>
      <w:bookmarkStart w:id="43" w:name="_Toc5016"/>
      <w:r>
        <w:rPr>
          <w:rFonts w:hint="eastAsia" w:eastAsia="仿宋_GB2312"/>
          <w:color w:val="auto"/>
          <w:highlight w:val="none"/>
          <w:lang w:eastAsia="zh-CN"/>
        </w:rPr>
        <w:drawing>
          <wp:anchor distT="0" distB="0" distL="114300" distR="114300" simplePos="0" relativeHeight="251661312" behindDoc="0" locked="0" layoutInCell="1" allowOverlap="1">
            <wp:simplePos x="0" y="0"/>
            <wp:positionH relativeFrom="column">
              <wp:posOffset>153670</wp:posOffset>
            </wp:positionH>
            <wp:positionV relativeFrom="page">
              <wp:posOffset>2377440</wp:posOffset>
            </wp:positionV>
            <wp:extent cx="5706110" cy="4279265"/>
            <wp:effectExtent l="0" t="0" r="8890" b="6985"/>
            <wp:wrapSquare wrapText="bothSides"/>
            <wp:docPr id="1" name="图片 1" descr="IMG20211218100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20211218100902"/>
                    <pic:cNvPicPr>
                      <a:picLocks noChangeAspect="1"/>
                    </pic:cNvPicPr>
                  </pic:nvPicPr>
                  <pic:blipFill>
                    <a:blip r:embed="rId10"/>
                    <a:stretch>
                      <a:fillRect/>
                    </a:stretch>
                  </pic:blipFill>
                  <pic:spPr>
                    <a:xfrm>
                      <a:off x="0" y="0"/>
                      <a:ext cx="5706110" cy="4279265"/>
                    </a:xfrm>
                    <a:prstGeom prst="rect">
                      <a:avLst/>
                    </a:prstGeom>
                  </pic:spPr>
                </pic:pic>
              </a:graphicData>
            </a:graphic>
          </wp:anchor>
        </w:drawing>
      </w:r>
      <w:r>
        <w:rPr>
          <w:color w:val="auto"/>
          <w:highlight w:val="none"/>
        </w:rPr>
        <w:t xml:space="preserve">8.1 </w:t>
      </w:r>
      <w:r>
        <w:rPr>
          <w:rFonts w:hint="eastAsia"/>
          <w:color w:val="auto"/>
          <w:highlight w:val="none"/>
        </w:rPr>
        <w:t>有关资料</w:t>
      </w:r>
      <w:bookmarkEnd w:id="43"/>
    </w:p>
    <w:p>
      <w:pPr>
        <w:widowControl w:val="0"/>
        <w:ind w:left="0" w:leftChars="0" w:right="155" w:firstLine="0" w:firstLineChars="0"/>
        <w:jc w:val="center"/>
        <w:rPr>
          <w:rFonts w:hint="eastAsia" w:ascii="楷体_GB2312" w:hAnsi="Times New Roman" w:eastAsia="楷体_GB2312"/>
          <w:b/>
          <w:color w:val="auto"/>
          <w:spacing w:val="20"/>
          <w:sz w:val="52"/>
          <w:szCs w:val="52"/>
        </w:rPr>
      </w:pPr>
    </w:p>
    <w:p>
      <w:pPr>
        <w:widowControl w:val="0"/>
        <w:ind w:left="0" w:leftChars="0" w:right="155" w:firstLine="0" w:firstLineChars="0"/>
        <w:jc w:val="center"/>
        <w:rPr>
          <w:rFonts w:hint="eastAsia" w:ascii="楷体_GB2312" w:hAnsi="Times New Roman" w:eastAsia="楷体_GB2312"/>
          <w:b/>
          <w:color w:val="auto"/>
          <w:spacing w:val="20"/>
          <w:sz w:val="52"/>
          <w:szCs w:val="52"/>
        </w:rPr>
      </w:pPr>
      <w:r>
        <w:rPr>
          <w:rFonts w:hint="eastAsia" w:ascii="楷体_GB2312" w:hAnsi="Times New Roman" w:eastAsia="楷体_GB2312"/>
          <w:b/>
          <w:color w:val="auto"/>
          <w:spacing w:val="20"/>
          <w:sz w:val="52"/>
          <w:szCs w:val="52"/>
        </w:rPr>
        <w:t>衡阳市</w:t>
      </w:r>
      <w:r>
        <w:rPr>
          <w:rFonts w:hint="eastAsia" w:ascii="楷体_GB2312" w:eastAsia="楷体_GB2312"/>
          <w:b/>
          <w:color w:val="auto"/>
          <w:spacing w:val="20"/>
          <w:sz w:val="52"/>
          <w:szCs w:val="52"/>
          <w:lang w:val="en-US" w:eastAsia="zh-CN"/>
        </w:rPr>
        <w:t>回雁峰公园地下停车场</w:t>
      </w:r>
      <w:r>
        <w:rPr>
          <w:rFonts w:hint="eastAsia" w:ascii="楷体_GB2312" w:hAnsi="Times New Roman" w:eastAsia="楷体_GB2312"/>
          <w:b/>
          <w:color w:val="auto"/>
          <w:spacing w:val="20"/>
          <w:sz w:val="52"/>
          <w:szCs w:val="52"/>
        </w:rPr>
        <w:t>建设工程项目</w:t>
      </w:r>
    </w:p>
    <w:p>
      <w:pPr>
        <w:widowControl w:val="0"/>
        <w:ind w:left="0" w:leftChars="0" w:right="155" w:firstLine="0" w:firstLineChars="0"/>
        <w:jc w:val="center"/>
        <w:rPr>
          <w:rFonts w:hint="default" w:ascii="Times New Roman" w:hAnsi="Times New Roman" w:eastAsia="宋体" w:cs="Times New Roman"/>
          <w:kern w:val="0"/>
          <w:sz w:val="72"/>
          <w:szCs w:val="72"/>
          <w:lang w:val="en-US" w:eastAsia="zh-CN" w:bidi="ar-SA"/>
        </w:rPr>
      </w:pPr>
      <w:r>
        <w:rPr>
          <w:rFonts w:hint="default" w:ascii="Times New Roman" w:hAnsi="Times New Roman" w:eastAsia="宋体" w:cs="Times New Roman"/>
          <w:spacing w:val="4"/>
          <w:kern w:val="0"/>
          <w:sz w:val="72"/>
          <w:szCs w:val="72"/>
          <w:lang w:val="en-US" w:eastAsia="zh-CN" w:bidi="ar-SA"/>
        </w:rPr>
        <w:t>水土</w:t>
      </w:r>
      <w:r>
        <w:rPr>
          <w:rFonts w:hint="default" w:ascii="Times New Roman" w:hAnsi="Times New Roman" w:eastAsia="宋体" w:cs="Times New Roman"/>
          <w:kern w:val="0"/>
          <w:sz w:val="72"/>
          <w:szCs w:val="72"/>
          <w:lang w:val="en-US" w:eastAsia="zh-CN" w:bidi="ar-SA"/>
        </w:rPr>
        <w:t>保</w:t>
      </w:r>
      <w:r>
        <w:rPr>
          <w:rFonts w:hint="default" w:ascii="Times New Roman" w:hAnsi="Times New Roman" w:eastAsia="宋体" w:cs="Times New Roman"/>
          <w:spacing w:val="5"/>
          <w:kern w:val="0"/>
          <w:sz w:val="72"/>
          <w:szCs w:val="72"/>
          <w:lang w:val="en-US" w:eastAsia="zh-CN" w:bidi="ar-SA"/>
        </w:rPr>
        <w:t>持</w:t>
      </w:r>
      <w:r>
        <w:rPr>
          <w:rFonts w:hint="default" w:ascii="Times New Roman" w:hAnsi="Times New Roman" w:eastAsia="宋体" w:cs="Times New Roman"/>
          <w:kern w:val="0"/>
          <w:sz w:val="72"/>
          <w:szCs w:val="72"/>
          <w:lang w:val="en-US" w:eastAsia="zh-CN" w:bidi="ar-SA"/>
        </w:rPr>
        <w:t>监测</w:t>
      </w:r>
      <w:r>
        <w:rPr>
          <w:rFonts w:hint="default" w:ascii="Times New Roman" w:hAnsi="Times New Roman" w:eastAsia="宋体" w:cs="Times New Roman"/>
          <w:spacing w:val="6"/>
          <w:kern w:val="0"/>
          <w:sz w:val="72"/>
          <w:szCs w:val="72"/>
          <w:lang w:val="en-US" w:eastAsia="zh-CN" w:bidi="ar-SA"/>
        </w:rPr>
        <w:t>季</w:t>
      </w:r>
      <w:r>
        <w:rPr>
          <w:rFonts w:hint="default" w:ascii="Times New Roman" w:hAnsi="Times New Roman" w:eastAsia="宋体" w:cs="Times New Roman"/>
          <w:spacing w:val="4"/>
          <w:kern w:val="0"/>
          <w:sz w:val="72"/>
          <w:szCs w:val="72"/>
          <w:lang w:val="en-US" w:eastAsia="zh-CN" w:bidi="ar-SA"/>
        </w:rPr>
        <w:t>度</w:t>
      </w:r>
      <w:r>
        <w:rPr>
          <w:rFonts w:hint="default" w:ascii="Times New Roman" w:hAnsi="Times New Roman" w:eastAsia="宋体" w:cs="Times New Roman"/>
          <w:kern w:val="0"/>
          <w:sz w:val="72"/>
          <w:szCs w:val="72"/>
          <w:lang w:val="en-US" w:eastAsia="zh-CN" w:bidi="ar-SA"/>
        </w:rPr>
        <w:t>报</w:t>
      </w:r>
      <w:r>
        <w:rPr>
          <w:rFonts w:hint="default" w:ascii="Times New Roman" w:hAnsi="Times New Roman" w:eastAsia="宋体" w:cs="Times New Roman"/>
          <w:spacing w:val="5"/>
          <w:kern w:val="0"/>
          <w:sz w:val="72"/>
          <w:szCs w:val="72"/>
          <w:lang w:val="en-US" w:eastAsia="zh-CN" w:bidi="ar-SA"/>
        </w:rPr>
        <w:t>告</w:t>
      </w:r>
      <w:r>
        <w:rPr>
          <w:rFonts w:hint="default" w:ascii="Times New Roman" w:hAnsi="Times New Roman" w:eastAsia="宋体" w:cs="Times New Roman"/>
          <w:kern w:val="0"/>
          <w:sz w:val="72"/>
          <w:szCs w:val="72"/>
          <w:lang w:val="en-US" w:eastAsia="zh-CN" w:bidi="ar-SA"/>
        </w:rPr>
        <w:t>表</w:t>
      </w:r>
    </w:p>
    <w:p>
      <w:pPr>
        <w:widowControl w:val="0"/>
        <w:ind w:left="0" w:leftChars="0" w:right="155" w:firstLine="0" w:firstLineChars="0"/>
        <w:jc w:val="center"/>
        <w:rPr>
          <w:rFonts w:hint="default" w:ascii="Times New Roman" w:hAnsi="Times New Roman" w:eastAsia="宋体" w:cs="Times New Roman"/>
          <w:kern w:val="0"/>
          <w:sz w:val="36"/>
          <w:szCs w:val="36"/>
          <w:lang w:val="en-US" w:eastAsia="zh-CN" w:bidi="ar-SA"/>
        </w:rPr>
      </w:pPr>
      <w:r>
        <w:rPr>
          <w:rFonts w:hint="default" w:ascii="Times New Roman" w:hAnsi="Times New Roman" w:eastAsia="宋体" w:cs="Times New Roman"/>
          <w:spacing w:val="5"/>
          <w:kern w:val="0"/>
          <w:sz w:val="36"/>
          <w:szCs w:val="36"/>
          <w:lang w:val="en-US" w:eastAsia="zh-CN" w:bidi="ar-SA"/>
        </w:rPr>
        <w:t>（</w:t>
      </w:r>
      <w:r>
        <w:rPr>
          <w:rFonts w:hint="default" w:ascii="Times New Roman" w:hAnsi="Times New Roman" w:eastAsia="Times New Roman" w:cs="Times New Roman"/>
          <w:b/>
          <w:bCs/>
          <w:spacing w:val="-2"/>
          <w:kern w:val="0"/>
          <w:sz w:val="36"/>
          <w:szCs w:val="36"/>
          <w:lang w:val="en-US" w:eastAsia="zh-CN" w:bidi="ar-SA"/>
        </w:rPr>
        <w:t>2</w:t>
      </w:r>
      <w:r>
        <w:rPr>
          <w:rFonts w:hint="default" w:ascii="Times New Roman" w:hAnsi="Times New Roman" w:eastAsia="Times New Roman" w:cs="Times New Roman"/>
          <w:b/>
          <w:bCs/>
          <w:spacing w:val="2"/>
          <w:kern w:val="0"/>
          <w:sz w:val="36"/>
          <w:szCs w:val="36"/>
          <w:lang w:val="en-US" w:eastAsia="zh-CN" w:bidi="ar-SA"/>
        </w:rPr>
        <w:t>0</w:t>
      </w:r>
      <w:r>
        <w:rPr>
          <w:rFonts w:hint="eastAsia" w:ascii="Times New Roman" w:hAnsi="Times New Roman" w:eastAsia="Times New Roman" w:cs="Times New Roman"/>
          <w:b/>
          <w:bCs/>
          <w:spacing w:val="2"/>
          <w:kern w:val="0"/>
          <w:sz w:val="36"/>
          <w:szCs w:val="36"/>
          <w:lang w:val="en-US" w:eastAsia="zh-CN" w:bidi="ar-SA"/>
        </w:rPr>
        <w:t>21</w:t>
      </w:r>
      <w:r>
        <w:rPr>
          <w:rFonts w:hint="default" w:ascii="Times New Roman" w:hAnsi="Times New Roman" w:eastAsia="宋体" w:cs="Times New Roman"/>
          <w:spacing w:val="5"/>
          <w:kern w:val="0"/>
          <w:sz w:val="36"/>
          <w:szCs w:val="36"/>
          <w:lang w:val="en-US" w:eastAsia="zh-CN" w:bidi="ar-SA"/>
        </w:rPr>
        <w:t>年</w:t>
      </w:r>
      <w:r>
        <w:rPr>
          <w:rFonts w:hint="default" w:ascii="Times New Roman" w:hAnsi="Times New Roman" w:eastAsia="宋体" w:cs="Times New Roman"/>
          <w:kern w:val="0"/>
          <w:sz w:val="36"/>
          <w:szCs w:val="36"/>
          <w:lang w:val="en-US" w:eastAsia="zh-CN" w:bidi="ar-SA"/>
        </w:rPr>
        <w:t>第</w:t>
      </w:r>
      <w:r>
        <w:rPr>
          <w:rFonts w:hint="eastAsia" w:ascii="Times New Roman" w:hAnsi="Times New Roman" w:eastAsia="宋体" w:cs="Times New Roman"/>
          <w:kern w:val="0"/>
          <w:sz w:val="36"/>
          <w:szCs w:val="36"/>
          <w:lang w:val="en-US" w:eastAsia="zh-CN" w:bidi="ar-SA"/>
        </w:rPr>
        <w:t>四</w:t>
      </w:r>
      <w:r>
        <w:rPr>
          <w:rFonts w:hint="default" w:ascii="Times New Roman" w:hAnsi="Times New Roman" w:eastAsia="宋体" w:cs="Times New Roman"/>
          <w:kern w:val="0"/>
          <w:sz w:val="36"/>
          <w:szCs w:val="36"/>
          <w:lang w:val="en-US" w:eastAsia="zh-CN" w:bidi="ar-SA"/>
        </w:rPr>
        <w:t>季</w:t>
      </w:r>
      <w:r>
        <w:rPr>
          <w:rFonts w:hint="default" w:ascii="Times New Roman" w:hAnsi="Times New Roman" w:eastAsia="宋体" w:cs="Times New Roman"/>
          <w:spacing w:val="4"/>
          <w:kern w:val="0"/>
          <w:sz w:val="36"/>
          <w:szCs w:val="36"/>
          <w:lang w:val="en-US" w:eastAsia="zh-CN" w:bidi="ar-SA"/>
        </w:rPr>
        <w:t>度</w:t>
      </w:r>
      <w:r>
        <w:rPr>
          <w:rFonts w:hint="default" w:ascii="Times New Roman" w:hAnsi="Times New Roman" w:eastAsia="宋体" w:cs="Times New Roman"/>
          <w:kern w:val="0"/>
          <w:sz w:val="36"/>
          <w:szCs w:val="36"/>
          <w:lang w:val="en-US" w:eastAsia="zh-CN" w:bidi="ar-SA"/>
        </w:rPr>
        <w:t>）</w:t>
      </w:r>
    </w:p>
    <w:p>
      <w:pPr>
        <w:rPr>
          <w:rFonts w:hint="default" w:ascii="Times New Roman" w:hAnsi="Times New Roman" w:cs="Times New Roman"/>
        </w:rPr>
      </w:pPr>
    </w:p>
    <w:p>
      <w:pPr>
        <w:pStyle w:val="20"/>
        <w:rPr>
          <w:rFonts w:hint="default" w:ascii="Times New Roman" w:hAnsi="Times New Roman" w:cs="Times New Roman"/>
        </w:rPr>
      </w:pPr>
    </w:p>
    <w:p>
      <w:pPr>
        <w:pStyle w:val="20"/>
        <w:ind w:left="0" w:leftChars="0" w:firstLine="0" w:firstLineChars="0"/>
        <w:rPr>
          <w:rFonts w:hint="default" w:ascii="Times New Roman" w:hAnsi="Times New Roman" w:cs="Times New Roman"/>
        </w:rPr>
      </w:pPr>
    </w:p>
    <w:p>
      <w:pPr>
        <w:pStyle w:val="20"/>
        <w:rPr>
          <w:rFonts w:hint="default" w:ascii="Times New Roman" w:hAnsi="Times New Roman" w:cs="Times New Roman"/>
        </w:rPr>
      </w:pPr>
    </w:p>
    <w:p>
      <w:pPr>
        <w:pStyle w:val="20"/>
        <w:rPr>
          <w:rFonts w:hint="default" w:ascii="Times New Roman" w:hAnsi="Times New Roman" w:cs="Times New Roman"/>
        </w:rPr>
      </w:pPr>
    </w:p>
    <w:p>
      <w:pPr>
        <w:pStyle w:val="20"/>
        <w:rPr>
          <w:rFonts w:hint="default" w:ascii="Times New Roman" w:hAnsi="Times New Roman" w:cs="Times New Roman"/>
        </w:rPr>
      </w:pPr>
    </w:p>
    <w:p>
      <w:pPr>
        <w:spacing w:line="316" w:lineRule="auto"/>
        <w:ind w:left="520" w:leftChars="100" w:right="1193" w:hanging="280" w:hangingChars="100"/>
        <w:jc w:val="left"/>
        <w:rPr>
          <w:rFonts w:hint="default" w:ascii="Times New Roman" w:hAnsi="Times New Roman" w:eastAsia="宋体" w:cs="Times New Roman"/>
          <w:kern w:val="0"/>
          <w:sz w:val="28"/>
          <w:szCs w:val="28"/>
        </w:rPr>
      </w:pPr>
    </w:p>
    <w:p>
      <w:pPr>
        <w:spacing w:line="316" w:lineRule="auto"/>
        <w:ind w:left="520" w:leftChars="100" w:right="1193" w:hanging="280" w:hangingChars="100"/>
        <w:jc w:val="left"/>
        <w:rPr>
          <w:rFonts w:hint="default" w:ascii="Times New Roman" w:hAnsi="Times New Roman" w:eastAsia="宋体" w:cs="Times New Roman"/>
          <w:kern w:val="0"/>
          <w:sz w:val="28"/>
          <w:szCs w:val="28"/>
        </w:rPr>
      </w:pPr>
    </w:p>
    <w:p>
      <w:pPr>
        <w:bidi w:val="0"/>
        <w:jc w:val="center"/>
        <w:rPr>
          <w:rFonts w:hint="default"/>
          <w:sz w:val="28"/>
          <w:szCs w:val="28"/>
        </w:rPr>
      </w:pPr>
      <w:r>
        <w:rPr>
          <w:rFonts w:hint="default"/>
          <w:sz w:val="28"/>
          <w:szCs w:val="28"/>
        </w:rPr>
        <w:t>建设单位：衡阳市城市建设投资有限公司</w:t>
      </w:r>
    </w:p>
    <w:p>
      <w:pPr>
        <w:bidi w:val="0"/>
        <w:jc w:val="center"/>
        <w:rPr>
          <w:rFonts w:hint="default"/>
          <w:sz w:val="28"/>
          <w:szCs w:val="28"/>
          <w:lang w:val="en-US" w:eastAsia="zh-CN"/>
        </w:rPr>
      </w:pPr>
      <w:r>
        <w:rPr>
          <w:rFonts w:hint="default"/>
          <w:sz w:val="28"/>
          <w:szCs w:val="28"/>
        </w:rPr>
        <w:t>监测单位：湖南华意项目管理有限公司</w:t>
      </w:r>
    </w:p>
    <w:p>
      <w:pPr>
        <w:bidi w:val="0"/>
        <w:jc w:val="center"/>
        <w:rPr>
          <w:rFonts w:hint="default"/>
        </w:rPr>
        <w:sectPr>
          <w:pgSz w:w="11906" w:h="16838"/>
          <w:pgMar w:top="1440" w:right="1440" w:bottom="1440" w:left="1440" w:header="851" w:footer="992" w:gutter="0"/>
          <w:cols w:space="0" w:num="1"/>
          <w:rtlGutter w:val="0"/>
          <w:docGrid w:type="lines" w:linePitch="312" w:charSpace="0"/>
        </w:sectPr>
      </w:pPr>
      <w:r>
        <w:rPr>
          <w:rFonts w:hint="default"/>
          <w:sz w:val="28"/>
          <w:szCs w:val="28"/>
        </w:rPr>
        <w:t>监测时间：20</w:t>
      </w:r>
      <w:r>
        <w:rPr>
          <w:rFonts w:hint="eastAsia"/>
          <w:sz w:val="28"/>
          <w:szCs w:val="28"/>
          <w:lang w:val="en-US" w:eastAsia="zh-CN"/>
        </w:rPr>
        <w:t>21</w:t>
      </w:r>
      <w:r>
        <w:rPr>
          <w:rFonts w:hint="default"/>
          <w:sz w:val="28"/>
          <w:szCs w:val="28"/>
        </w:rPr>
        <w:t>年</w:t>
      </w:r>
      <w:r>
        <w:rPr>
          <w:rFonts w:hint="eastAsia"/>
          <w:sz w:val="28"/>
          <w:szCs w:val="28"/>
          <w:lang w:val="en-US" w:eastAsia="zh-CN"/>
        </w:rPr>
        <w:t>12</w:t>
      </w:r>
      <w:r>
        <w:rPr>
          <w:rFonts w:hint="default"/>
          <w:sz w:val="28"/>
          <w:szCs w:val="28"/>
        </w:rPr>
        <w:t>月</w:t>
      </w:r>
    </w:p>
    <w:p>
      <w:pPr>
        <w:ind w:left="0" w:leftChars="0" w:firstLine="0" w:firstLineChars="0"/>
        <w:jc w:val="both"/>
        <w:rPr>
          <w:rFonts w:hint="eastAsia" w:ascii="Times New Roman" w:hAnsi="Times New Roman" w:eastAsia="仿宋" w:cs="Times New Roman"/>
          <w:b/>
          <w:bCs/>
          <w:sz w:val="28"/>
          <w:szCs w:val="36"/>
          <w:u w:val="none"/>
          <w:lang w:val="en-US" w:eastAsia="zh-CN"/>
        </w:rPr>
      </w:pPr>
    </w:p>
    <w:p>
      <w:pPr>
        <w:jc w:val="center"/>
        <w:rPr>
          <w:rFonts w:hint="default" w:ascii="Times New Roman" w:hAnsi="Times New Roman" w:eastAsia="仿宋" w:cs="Times New Roman"/>
          <w:b/>
          <w:bCs/>
          <w:sz w:val="28"/>
          <w:szCs w:val="36"/>
          <w:u w:val="none"/>
          <w:lang w:val="en-US" w:eastAsia="zh-CN"/>
        </w:rPr>
      </w:pPr>
      <w:r>
        <w:rPr>
          <w:rFonts w:hint="eastAsia" w:ascii="Times New Roman" w:hAnsi="Times New Roman" w:eastAsia="仿宋" w:cs="Times New Roman"/>
          <w:b/>
          <w:bCs/>
          <w:sz w:val="28"/>
          <w:szCs w:val="36"/>
          <w:u w:val="none"/>
          <w:lang w:val="en-US" w:eastAsia="zh-CN"/>
        </w:rPr>
        <w:t>衡阳市廻雁峰公园地下停车场建设工程项目</w:t>
      </w:r>
    </w:p>
    <w:p>
      <w:pPr>
        <w:pStyle w:val="19"/>
        <w:jc w:val="center"/>
        <w:rPr>
          <w:rFonts w:hint="default" w:ascii="Times New Roman" w:hAnsi="Times New Roman" w:cs="Times New Roman"/>
          <w:b w:val="0"/>
          <w:bCs w:val="0"/>
          <w:sz w:val="21"/>
          <w:szCs w:val="20"/>
          <w:lang w:val="en-US" w:eastAsia="zh-CN"/>
        </w:rPr>
      </w:pPr>
      <w:r>
        <w:rPr>
          <w:rFonts w:hint="default" w:ascii="Times New Roman" w:hAnsi="Times New Roman" w:eastAsia="仿宋" w:cs="Times New Roman"/>
          <w:b w:val="0"/>
          <w:bCs w:val="0"/>
          <w:sz w:val="28"/>
          <w:szCs w:val="36"/>
          <w:u w:val="none"/>
          <w:lang w:val="en-US" w:eastAsia="zh-CN"/>
        </w:rPr>
        <w:t>水土保持监测季度报告表</w:t>
      </w:r>
    </w:p>
    <w:p>
      <w:pPr>
        <w:pStyle w:val="19"/>
        <w:rPr>
          <w:rFonts w:hint="default" w:ascii="Times New Roman" w:hAnsi="Times New Roman" w:eastAsia="仿宋" w:cs="Times New Roman"/>
          <w:lang w:val="en-US" w:eastAsia="zh-CN"/>
        </w:rPr>
      </w:pPr>
    </w:p>
    <w:p>
      <w:pPr>
        <w:pStyle w:val="19"/>
        <w:jc w:val="both"/>
        <w:rPr>
          <w:rFonts w:hint="default" w:ascii="Times New Roman" w:hAnsi="Times New Roman" w:eastAsia="仿宋" w:cs="Times New Roman"/>
          <w:lang w:val="en-US" w:eastAsia="zh-CN"/>
        </w:rPr>
      </w:pPr>
    </w:p>
    <w:p>
      <w:pPr>
        <w:rPr>
          <w:rFonts w:hint="default" w:ascii="Times New Roman" w:hAnsi="Times New Roman" w:eastAsia="仿宋" w:cs="Times New Roman"/>
          <w:lang w:val="en-US" w:eastAsia="zh-CN"/>
        </w:rPr>
      </w:pPr>
    </w:p>
    <w:p>
      <w:pPr>
        <w:pStyle w:val="19"/>
        <w:jc w:val="center"/>
        <w:rPr>
          <w:rFonts w:hint="default" w:ascii="Times New Roman" w:hAnsi="Times New Roman" w:eastAsia="仿宋" w:cs="Times New Roman"/>
          <w:lang w:val="en-US" w:eastAsia="zh-CN"/>
        </w:rPr>
      </w:pPr>
    </w:p>
    <w:p>
      <w:pPr>
        <w:jc w:val="center"/>
        <w:rPr>
          <w:rFonts w:hint="default" w:ascii="Times New Roman" w:hAnsi="Times New Roman" w:eastAsia="黑体" w:cs="Times New Roman"/>
          <w:b/>
          <w:bCs/>
          <w:sz w:val="32"/>
          <w:szCs w:val="32"/>
          <w:lang w:val="en-US" w:eastAsia="zh-CN"/>
        </w:rPr>
      </w:pPr>
      <w:r>
        <w:rPr>
          <w:rFonts w:hint="default" w:ascii="Times New Roman" w:hAnsi="Times New Roman" w:eastAsia="仿宋" w:cs="Times New Roman"/>
          <w:b/>
          <w:bCs/>
          <w:sz w:val="24"/>
          <w:szCs w:val="32"/>
          <w:vertAlign w:val="baseline"/>
          <w:lang w:val="en-US" w:eastAsia="zh-CN"/>
        </w:rPr>
        <w:t>水土保持监测组人员</w:t>
      </w:r>
    </w:p>
    <w:tbl>
      <w:tblPr>
        <w:tblStyle w:val="2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6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仿宋" w:cs="Times New Roman"/>
                <w:b/>
                <w:bCs/>
                <w:sz w:val="24"/>
                <w:szCs w:val="32"/>
                <w:highlight w:val="none"/>
                <w:vertAlign w:val="baseline"/>
                <w:lang w:val="en-US" w:eastAsia="zh-CN"/>
              </w:rPr>
            </w:pPr>
            <w:r>
              <w:rPr>
                <w:rFonts w:hint="default" w:ascii="Times New Roman" w:hAnsi="Times New Roman" w:eastAsia="仿宋" w:cs="Times New Roman"/>
                <w:b/>
                <w:bCs/>
                <w:sz w:val="24"/>
                <w:szCs w:val="32"/>
                <w:highlight w:val="none"/>
                <w:vertAlign w:val="baseline"/>
                <w:lang w:val="en-US" w:eastAsia="zh-CN"/>
              </w:rPr>
              <w:t>姓名</w:t>
            </w:r>
          </w:p>
        </w:tc>
        <w:tc>
          <w:tcPr>
            <w:tcW w:w="6392" w:type="dxa"/>
            <w:vAlign w:val="center"/>
          </w:tcPr>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仿宋" w:cs="Times New Roman"/>
                <w:b/>
                <w:bCs/>
                <w:sz w:val="24"/>
                <w:szCs w:val="32"/>
                <w:highlight w:val="none"/>
                <w:vertAlign w:val="baseline"/>
                <w:lang w:val="en-US" w:eastAsia="zh-CN"/>
              </w:rPr>
            </w:pPr>
            <w:r>
              <w:rPr>
                <w:rFonts w:hint="default" w:ascii="Times New Roman" w:hAnsi="Times New Roman" w:eastAsia="仿宋" w:cs="Times New Roman"/>
                <w:b/>
                <w:bCs/>
                <w:sz w:val="24"/>
                <w:szCs w:val="32"/>
                <w:highlight w:val="none"/>
                <w:vertAlign w:val="baseline"/>
                <w:lang w:val="en-US" w:eastAsia="zh-CN"/>
              </w:rPr>
              <w:t>专业分工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仿宋" w:cs="Times New Roman"/>
                <w:b/>
                <w:bCs/>
                <w:sz w:val="24"/>
                <w:szCs w:val="32"/>
                <w:highlight w:val="none"/>
                <w:vertAlign w:val="baseline"/>
                <w:lang w:val="en-US" w:eastAsia="zh-CN"/>
              </w:rPr>
            </w:pPr>
            <w:r>
              <w:rPr>
                <w:rFonts w:hint="eastAsia" w:ascii="Times New Roman" w:hAnsi="Times New Roman" w:eastAsia="仿宋" w:cs="Times New Roman"/>
                <w:b/>
                <w:bCs/>
                <w:sz w:val="24"/>
                <w:szCs w:val="32"/>
                <w:highlight w:val="none"/>
                <w:vertAlign w:val="baseline"/>
                <w:lang w:val="en-US" w:eastAsia="zh-CN"/>
              </w:rPr>
              <w:t>黄 强</w:t>
            </w:r>
          </w:p>
        </w:tc>
        <w:tc>
          <w:tcPr>
            <w:tcW w:w="6392" w:type="dxa"/>
            <w:vAlign w:val="center"/>
          </w:tcPr>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仿宋" w:cs="Times New Roman"/>
                <w:b/>
                <w:bCs/>
                <w:sz w:val="24"/>
                <w:szCs w:val="32"/>
                <w:highlight w:val="none"/>
                <w:vertAlign w:val="baseline"/>
                <w:lang w:val="en-US" w:eastAsia="zh-CN"/>
              </w:rPr>
            </w:pPr>
            <w:r>
              <w:rPr>
                <w:rFonts w:hint="default" w:ascii="Times New Roman" w:hAnsi="Times New Roman" w:eastAsia="仿宋" w:cs="Times New Roman"/>
                <w:b/>
                <w:bCs/>
                <w:sz w:val="24"/>
                <w:szCs w:val="32"/>
                <w:highlight w:val="none"/>
                <w:vertAlign w:val="baseline"/>
                <w:lang w:val="en-US" w:eastAsia="zh-CN"/>
              </w:rPr>
              <w:t>负责项目技术，审查监测数据、质量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仿宋" w:cs="Times New Roman"/>
                <w:b/>
                <w:bCs/>
                <w:sz w:val="24"/>
                <w:szCs w:val="32"/>
                <w:highlight w:val="none"/>
                <w:vertAlign w:val="baseline"/>
                <w:lang w:val="en-US" w:eastAsia="zh-CN"/>
              </w:rPr>
            </w:pPr>
            <w:r>
              <w:rPr>
                <w:rFonts w:hint="eastAsia" w:ascii="Times New Roman" w:hAnsi="Times New Roman" w:eastAsia="仿宋" w:cs="Times New Roman"/>
                <w:b/>
                <w:bCs/>
                <w:sz w:val="24"/>
                <w:szCs w:val="32"/>
                <w:highlight w:val="none"/>
                <w:vertAlign w:val="baseline"/>
                <w:lang w:val="en-US" w:eastAsia="zh-CN"/>
              </w:rPr>
              <w:t>刘宏志</w:t>
            </w:r>
          </w:p>
        </w:tc>
        <w:tc>
          <w:tcPr>
            <w:tcW w:w="6392" w:type="dxa"/>
            <w:vAlign w:val="center"/>
          </w:tcPr>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仿宋" w:cs="Times New Roman"/>
                <w:b/>
                <w:bCs/>
                <w:sz w:val="24"/>
                <w:szCs w:val="32"/>
                <w:highlight w:val="none"/>
                <w:vertAlign w:val="baseline"/>
                <w:lang w:val="en-US" w:eastAsia="zh-CN"/>
              </w:rPr>
            </w:pPr>
            <w:r>
              <w:rPr>
                <w:rFonts w:hint="default" w:ascii="Times New Roman" w:hAnsi="Times New Roman" w:eastAsia="仿宋" w:cs="Times New Roman"/>
                <w:b/>
                <w:bCs/>
                <w:sz w:val="24"/>
                <w:szCs w:val="32"/>
                <w:highlight w:val="none"/>
                <w:vertAlign w:val="baseline"/>
                <w:lang w:val="en-US" w:eastAsia="zh-CN"/>
              </w:rPr>
              <w:t>现场监测，项目水土流失相关数据收集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仿宋" w:cs="Times New Roman"/>
                <w:b/>
                <w:bCs/>
                <w:sz w:val="24"/>
                <w:szCs w:val="32"/>
                <w:highlight w:val="none"/>
                <w:vertAlign w:val="baseline"/>
                <w:lang w:val="en-US" w:eastAsia="zh-CN"/>
              </w:rPr>
            </w:pPr>
            <w:r>
              <w:rPr>
                <w:rFonts w:hint="eastAsia" w:ascii="Times New Roman" w:hAnsi="Times New Roman" w:eastAsia="仿宋" w:cs="Times New Roman"/>
                <w:b/>
                <w:bCs/>
                <w:sz w:val="24"/>
                <w:szCs w:val="32"/>
                <w:highlight w:val="none"/>
                <w:vertAlign w:val="baseline"/>
                <w:lang w:val="en-US" w:eastAsia="zh-CN"/>
              </w:rPr>
              <w:t>蒋 茂</w:t>
            </w:r>
          </w:p>
        </w:tc>
        <w:tc>
          <w:tcPr>
            <w:tcW w:w="6392" w:type="dxa"/>
            <w:vAlign w:val="center"/>
          </w:tcPr>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仿宋" w:cs="Times New Roman"/>
                <w:b/>
                <w:bCs/>
                <w:sz w:val="24"/>
                <w:szCs w:val="32"/>
                <w:highlight w:val="none"/>
                <w:vertAlign w:val="baseline"/>
                <w:lang w:val="en-US" w:eastAsia="zh-CN"/>
              </w:rPr>
            </w:pPr>
            <w:r>
              <w:rPr>
                <w:rFonts w:hint="default" w:ascii="Times New Roman" w:hAnsi="Times New Roman" w:eastAsia="仿宋" w:cs="Times New Roman"/>
                <w:b/>
                <w:bCs/>
                <w:sz w:val="24"/>
                <w:szCs w:val="32"/>
                <w:highlight w:val="none"/>
                <w:vertAlign w:val="baseline"/>
                <w:lang w:val="en-US" w:eastAsia="zh-CN"/>
              </w:rPr>
              <w:t>野外调查，侧重面积量测，土石方量查勘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仿宋" w:cs="Times New Roman"/>
                <w:b/>
                <w:bCs/>
                <w:sz w:val="24"/>
                <w:szCs w:val="32"/>
                <w:highlight w:val="none"/>
                <w:vertAlign w:val="baseline"/>
                <w:lang w:val="en-US" w:eastAsia="zh-CN"/>
              </w:rPr>
            </w:pPr>
            <w:r>
              <w:rPr>
                <w:rFonts w:hint="eastAsia" w:ascii="Times New Roman" w:hAnsi="Times New Roman" w:eastAsia="仿宋" w:cs="Times New Roman"/>
                <w:b/>
                <w:bCs/>
                <w:sz w:val="24"/>
                <w:szCs w:val="32"/>
                <w:highlight w:val="none"/>
                <w:vertAlign w:val="baseline"/>
                <w:lang w:val="en-US" w:eastAsia="zh-CN"/>
              </w:rPr>
              <w:t>尹靖雯</w:t>
            </w:r>
          </w:p>
        </w:tc>
        <w:tc>
          <w:tcPr>
            <w:tcW w:w="6392" w:type="dxa"/>
            <w:vAlign w:val="center"/>
          </w:tcPr>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仿宋" w:cs="Times New Roman"/>
                <w:b/>
                <w:bCs/>
                <w:sz w:val="24"/>
                <w:szCs w:val="32"/>
                <w:highlight w:val="none"/>
                <w:vertAlign w:val="baseline"/>
                <w:lang w:val="en-US" w:eastAsia="zh-CN"/>
              </w:rPr>
            </w:pPr>
            <w:r>
              <w:rPr>
                <w:rFonts w:hint="default" w:ascii="Times New Roman" w:hAnsi="Times New Roman" w:eastAsia="仿宋" w:cs="Times New Roman"/>
                <w:b/>
                <w:bCs/>
                <w:sz w:val="24"/>
                <w:szCs w:val="32"/>
                <w:highlight w:val="none"/>
                <w:vertAlign w:val="baseline"/>
                <w:lang w:val="en-US" w:eastAsia="zh-CN"/>
              </w:rPr>
              <w:t>监测数据整（汇）编，文档管理，编写季报</w:t>
            </w:r>
          </w:p>
        </w:tc>
      </w:tr>
    </w:tbl>
    <w:p>
      <w:pPr>
        <w:rPr>
          <w:rFonts w:hint="default" w:ascii="Times New Roman" w:hAnsi="Times New Roman" w:eastAsia="黑体" w:cs="Times New Roman"/>
          <w:b/>
          <w:bCs/>
          <w:sz w:val="32"/>
          <w:szCs w:val="32"/>
          <w:lang w:eastAsia="zh-CN"/>
        </w:rPr>
      </w:pPr>
      <w:r>
        <w:rPr>
          <w:rFonts w:hint="default" w:ascii="Times New Roman" w:hAnsi="Times New Roman" w:eastAsia="黑体" w:cs="Times New Roman"/>
          <w:b/>
          <w:bCs/>
          <w:sz w:val="32"/>
          <w:szCs w:val="32"/>
          <w:lang w:eastAsia="zh-CN"/>
        </w:rPr>
        <w:br w:type="page"/>
      </w:r>
    </w:p>
    <w:p>
      <w:pPr>
        <w:pStyle w:val="20"/>
        <w:jc w:val="center"/>
        <w:rPr>
          <w:rFonts w:hint="default" w:ascii="Times New Roman" w:hAnsi="Times New Roman" w:eastAsia="黑体" w:cs="Times New Roman"/>
          <w:b/>
          <w:bCs/>
          <w:sz w:val="32"/>
          <w:szCs w:val="32"/>
          <w:lang w:eastAsia="zh-CN"/>
        </w:rPr>
        <w:sectPr>
          <w:pgSz w:w="11922" w:h="16838"/>
          <w:pgMar w:top="1440" w:right="1440" w:bottom="1440" w:left="1440" w:header="850" w:footer="992" w:gutter="0"/>
          <w:pgBorders>
            <w:top w:val="none" w:sz="0" w:space="0"/>
            <w:left w:val="none" w:sz="0" w:space="0"/>
            <w:bottom w:val="none" w:sz="0" w:space="0"/>
            <w:right w:val="none" w:sz="0" w:space="0"/>
          </w:pgBorders>
          <w:cols w:space="0" w:num="1"/>
          <w:rtlGutter w:val="0"/>
          <w:docGrid w:linePitch="312" w:charSpace="0"/>
        </w:sectPr>
      </w:pPr>
    </w:p>
    <w:sdt>
      <w:sdtPr>
        <w:rPr>
          <w:rFonts w:hint="default" w:ascii="Times New Roman" w:hAnsi="Times New Roman" w:eastAsia="宋体" w:cs="Times New Roman"/>
          <w:b/>
          <w:bCs/>
          <w:kern w:val="2"/>
          <w:sz w:val="28"/>
          <w:szCs w:val="24"/>
        </w:rPr>
        <w:id w:val="147457416"/>
        <w15:color w:val="DBDBDB"/>
        <w:docPartObj>
          <w:docPartGallery w:val="Table of Contents"/>
          <w:docPartUnique/>
        </w:docPartObj>
      </w:sdtPr>
      <w:sdtEndPr>
        <w:rPr>
          <w:rFonts w:hint="default" w:ascii="Times New Roman" w:hAnsi="Times New Roman" w:eastAsia="黑体" w:cs="Times New Roman"/>
          <w:b/>
          <w:bCs/>
          <w:kern w:val="2"/>
          <w:sz w:val="24"/>
          <w:szCs w:val="32"/>
          <w:lang w:val="en-US" w:eastAsia="zh-CN" w:bidi="ar-SA"/>
        </w:rPr>
      </w:sdtEndPr>
      <w:sdtContent>
        <w:p>
          <w:pPr>
            <w:keepNext w:val="0"/>
            <w:keepLines w:val="0"/>
            <w:pageBreakBefore w:val="0"/>
            <w:widowControl/>
            <w:kinsoku/>
            <w:wordWrap/>
            <w:overflowPunct/>
            <w:topLinePunct w:val="0"/>
            <w:autoSpaceDE/>
            <w:autoSpaceDN/>
            <w:bidi w:val="0"/>
            <w:adjustRightInd/>
            <w:snapToGrid/>
            <w:spacing w:before="0" w:beforeLines="0" w:after="0" w:afterLines="0" w:line="480" w:lineRule="auto"/>
            <w:ind w:left="0" w:leftChars="0" w:right="0" w:rightChars="0" w:firstLine="0" w:firstLineChars="0"/>
            <w:jc w:val="center"/>
            <w:textAlignment w:val="auto"/>
            <w:rPr>
              <w:rFonts w:hint="default" w:ascii="Times New Roman" w:hAnsi="Times New Roman" w:cs="Times New Roman"/>
              <w:b/>
              <w:bCs/>
              <w:sz w:val="28"/>
              <w:szCs w:val="24"/>
            </w:rPr>
          </w:pPr>
          <w:r>
            <w:rPr>
              <w:rFonts w:hint="default" w:ascii="Times New Roman" w:hAnsi="Times New Roman" w:eastAsia="宋体" w:cs="Times New Roman"/>
              <w:b/>
              <w:bCs/>
              <w:sz w:val="28"/>
              <w:szCs w:val="24"/>
            </w:rPr>
            <w:t>目</w:t>
          </w:r>
          <w:r>
            <w:rPr>
              <w:rFonts w:hint="default" w:ascii="Times New Roman" w:hAnsi="Times New Roman" w:cs="Times New Roman"/>
              <w:b/>
              <w:bCs/>
              <w:sz w:val="28"/>
              <w:szCs w:val="24"/>
              <w:lang w:val="en-US" w:eastAsia="zh-CN"/>
            </w:rPr>
            <w:t xml:space="preserve">  </w:t>
          </w:r>
          <w:r>
            <w:rPr>
              <w:rFonts w:hint="default" w:ascii="Times New Roman" w:hAnsi="Times New Roman" w:eastAsia="宋体" w:cs="Times New Roman"/>
              <w:b/>
              <w:bCs/>
              <w:sz w:val="28"/>
              <w:szCs w:val="24"/>
            </w:rPr>
            <w:t>录</w:t>
          </w:r>
        </w:p>
        <w:p>
          <w:pPr>
            <w:pStyle w:val="15"/>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2"/>
            </w:rPr>
          </w:pPr>
          <w:r>
            <w:rPr>
              <w:rFonts w:hint="default" w:ascii="Times New Roman" w:hAnsi="Times New Roman" w:eastAsia="黑体" w:cs="Times New Roman"/>
              <w:b/>
              <w:bCs/>
              <w:sz w:val="32"/>
              <w:szCs w:val="32"/>
              <w:lang w:eastAsia="zh-CN"/>
            </w:rPr>
            <w:fldChar w:fldCharType="begin"/>
          </w:r>
          <w:r>
            <w:rPr>
              <w:rFonts w:hint="default" w:ascii="Times New Roman" w:hAnsi="Times New Roman" w:eastAsia="黑体" w:cs="Times New Roman"/>
              <w:b/>
              <w:bCs/>
              <w:sz w:val="32"/>
              <w:szCs w:val="32"/>
              <w:lang w:eastAsia="zh-CN"/>
            </w:rPr>
            <w:instrText xml:space="preserve">TOC \o "1-2" \h \u </w:instrText>
          </w:r>
          <w:r>
            <w:rPr>
              <w:rFonts w:hint="default" w:ascii="Times New Roman" w:hAnsi="Times New Roman" w:eastAsia="黑体" w:cs="Times New Roman"/>
              <w:b/>
              <w:bCs/>
              <w:sz w:val="32"/>
              <w:szCs w:val="32"/>
              <w:lang w:eastAsia="zh-CN"/>
            </w:rPr>
            <w:fldChar w:fldCharType="separate"/>
          </w:r>
          <w:r>
            <w:rPr>
              <w:rFonts w:hint="default" w:ascii="Times New Roman" w:hAnsi="Times New Roman" w:eastAsia="黑体" w:cs="Times New Roman"/>
              <w:bCs/>
              <w:sz w:val="24"/>
              <w:szCs w:val="40"/>
              <w:lang w:eastAsia="zh-CN"/>
            </w:rPr>
            <w:fldChar w:fldCharType="begin"/>
          </w:r>
          <w:r>
            <w:rPr>
              <w:rFonts w:hint="default" w:ascii="Times New Roman" w:hAnsi="Times New Roman" w:eastAsia="黑体" w:cs="Times New Roman"/>
              <w:bCs/>
              <w:sz w:val="24"/>
              <w:szCs w:val="40"/>
              <w:lang w:eastAsia="zh-CN"/>
            </w:rPr>
            <w:instrText xml:space="preserve"> HYPERLINK \l _Toc9801 </w:instrText>
          </w:r>
          <w:r>
            <w:rPr>
              <w:rFonts w:hint="default" w:ascii="Times New Roman" w:hAnsi="Times New Roman" w:eastAsia="黑体" w:cs="Times New Roman"/>
              <w:bCs/>
              <w:sz w:val="24"/>
              <w:szCs w:val="40"/>
              <w:lang w:eastAsia="zh-CN"/>
            </w:rPr>
            <w:fldChar w:fldCharType="separate"/>
          </w:r>
          <w:r>
            <w:rPr>
              <w:rFonts w:hint="default" w:ascii="Times New Roman" w:hAnsi="Times New Roman" w:cs="Times New Roman"/>
              <w:bCs w:val="0"/>
              <w:kern w:val="0"/>
              <w:sz w:val="24"/>
              <w:szCs w:val="40"/>
              <w:lang w:val="en-US" w:eastAsia="zh-CN" w:bidi="en-US"/>
            </w:rPr>
            <w:t>1、</w:t>
          </w:r>
          <w:r>
            <w:rPr>
              <w:rFonts w:hint="default" w:ascii="Times New Roman" w:hAnsi="Times New Roman" w:eastAsia="宋体" w:cs="Times New Roman"/>
              <w:bCs w:val="0"/>
              <w:kern w:val="0"/>
              <w:sz w:val="24"/>
              <w:szCs w:val="40"/>
              <w:lang w:val="en-US" w:eastAsia="zh-CN" w:bidi="en-US"/>
            </w:rPr>
            <w:t>生产建设项目水土保持监测季度报告表</w:t>
          </w:r>
          <w:r>
            <w:rPr>
              <w:rFonts w:hint="default" w:ascii="Times New Roman" w:hAnsi="Times New Roman" w:cs="Times New Roman"/>
              <w:sz w:val="24"/>
              <w:szCs w:val="22"/>
            </w:rPr>
            <w:tab/>
          </w:r>
          <w:r>
            <w:rPr>
              <w:rFonts w:hint="default" w:ascii="Times New Roman" w:hAnsi="Times New Roman" w:cs="Times New Roman"/>
              <w:sz w:val="24"/>
              <w:szCs w:val="22"/>
            </w:rPr>
            <w:fldChar w:fldCharType="begin"/>
          </w:r>
          <w:r>
            <w:rPr>
              <w:rFonts w:hint="default" w:ascii="Times New Roman" w:hAnsi="Times New Roman" w:cs="Times New Roman"/>
              <w:sz w:val="24"/>
              <w:szCs w:val="22"/>
            </w:rPr>
            <w:instrText xml:space="preserve"> PAGEREF _Toc9801 \h </w:instrText>
          </w:r>
          <w:r>
            <w:rPr>
              <w:rFonts w:hint="default" w:ascii="Times New Roman" w:hAnsi="Times New Roman" w:cs="Times New Roman"/>
              <w:sz w:val="24"/>
              <w:szCs w:val="22"/>
            </w:rPr>
            <w:fldChar w:fldCharType="separate"/>
          </w:r>
          <w:r>
            <w:rPr>
              <w:rFonts w:hint="default" w:ascii="Times New Roman" w:hAnsi="Times New Roman" w:cs="Times New Roman"/>
              <w:sz w:val="24"/>
              <w:szCs w:val="22"/>
            </w:rPr>
            <w:t>1</w:t>
          </w:r>
          <w:r>
            <w:rPr>
              <w:rFonts w:hint="default" w:ascii="Times New Roman" w:hAnsi="Times New Roman" w:cs="Times New Roman"/>
              <w:sz w:val="24"/>
              <w:szCs w:val="22"/>
            </w:rPr>
            <w:fldChar w:fldCharType="end"/>
          </w:r>
          <w:r>
            <w:rPr>
              <w:rFonts w:hint="default" w:ascii="Times New Roman" w:hAnsi="Times New Roman" w:eastAsia="黑体" w:cs="Times New Roman"/>
              <w:bCs/>
              <w:sz w:val="24"/>
              <w:szCs w:val="40"/>
              <w:lang w:eastAsia="zh-CN"/>
            </w:rPr>
            <w:fldChar w:fldCharType="end"/>
          </w:r>
        </w:p>
        <w:p>
          <w:pPr>
            <w:pStyle w:val="15"/>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hint="default" w:ascii="Times New Roman" w:hAnsi="Times New Roman" w:cs="Times New Roman"/>
            </w:rPr>
          </w:pPr>
          <w:r>
            <w:rPr>
              <w:rFonts w:hint="default" w:ascii="Times New Roman" w:hAnsi="Times New Roman" w:eastAsia="黑体" w:cs="Times New Roman"/>
              <w:bCs/>
              <w:sz w:val="24"/>
              <w:szCs w:val="40"/>
              <w:lang w:eastAsia="zh-CN"/>
            </w:rPr>
            <w:fldChar w:fldCharType="begin"/>
          </w:r>
          <w:r>
            <w:rPr>
              <w:rFonts w:hint="default" w:ascii="Times New Roman" w:hAnsi="Times New Roman" w:eastAsia="黑体" w:cs="Times New Roman"/>
              <w:bCs/>
              <w:sz w:val="24"/>
              <w:szCs w:val="40"/>
              <w:lang w:eastAsia="zh-CN"/>
            </w:rPr>
            <w:instrText xml:space="preserve"> HYPERLINK \l _Toc29952 </w:instrText>
          </w:r>
          <w:r>
            <w:rPr>
              <w:rFonts w:hint="default" w:ascii="Times New Roman" w:hAnsi="Times New Roman" w:eastAsia="黑体" w:cs="Times New Roman"/>
              <w:bCs/>
              <w:sz w:val="24"/>
              <w:szCs w:val="40"/>
              <w:lang w:eastAsia="zh-CN"/>
            </w:rPr>
            <w:fldChar w:fldCharType="separate"/>
          </w:r>
          <w:r>
            <w:rPr>
              <w:rFonts w:hint="default" w:ascii="Times New Roman" w:hAnsi="Times New Roman" w:cs="Times New Roman"/>
              <w:bCs w:val="0"/>
              <w:kern w:val="0"/>
              <w:sz w:val="24"/>
              <w:szCs w:val="40"/>
              <w:lang w:val="en-US" w:eastAsia="zh-CN" w:bidi="en-US"/>
            </w:rPr>
            <w:t>2、</w:t>
          </w:r>
          <w:r>
            <w:rPr>
              <w:rFonts w:hint="default" w:ascii="Times New Roman" w:hAnsi="Times New Roman" w:eastAsia="宋体" w:cs="Times New Roman"/>
              <w:bCs w:val="0"/>
              <w:kern w:val="0"/>
              <w:sz w:val="24"/>
              <w:szCs w:val="40"/>
              <w:lang w:val="en-US" w:eastAsia="zh-CN" w:bidi="en-US"/>
            </w:rPr>
            <w:t>监测期工程建设情况</w:t>
          </w:r>
          <w:r>
            <w:rPr>
              <w:rFonts w:hint="default" w:ascii="Times New Roman" w:hAnsi="Times New Roman" w:cs="Times New Roman"/>
              <w:sz w:val="24"/>
              <w:szCs w:val="22"/>
            </w:rPr>
            <w:tab/>
          </w:r>
          <w:r>
            <w:rPr>
              <w:rFonts w:hint="default" w:ascii="Times New Roman" w:hAnsi="Times New Roman" w:cs="Times New Roman"/>
              <w:sz w:val="24"/>
              <w:szCs w:val="22"/>
            </w:rPr>
            <w:fldChar w:fldCharType="begin"/>
          </w:r>
          <w:r>
            <w:rPr>
              <w:rFonts w:hint="default" w:ascii="Times New Roman" w:hAnsi="Times New Roman" w:cs="Times New Roman"/>
              <w:sz w:val="24"/>
              <w:szCs w:val="22"/>
            </w:rPr>
            <w:instrText xml:space="preserve"> PAGEREF _Toc29952 \h </w:instrText>
          </w:r>
          <w:r>
            <w:rPr>
              <w:rFonts w:hint="default" w:ascii="Times New Roman" w:hAnsi="Times New Roman" w:cs="Times New Roman"/>
              <w:sz w:val="24"/>
              <w:szCs w:val="22"/>
            </w:rPr>
            <w:fldChar w:fldCharType="separate"/>
          </w:r>
          <w:r>
            <w:rPr>
              <w:rFonts w:hint="default" w:ascii="Times New Roman" w:hAnsi="Times New Roman" w:cs="Times New Roman"/>
              <w:sz w:val="24"/>
              <w:szCs w:val="22"/>
            </w:rPr>
            <w:t>3</w:t>
          </w:r>
          <w:r>
            <w:rPr>
              <w:rFonts w:hint="default" w:ascii="Times New Roman" w:hAnsi="Times New Roman" w:cs="Times New Roman"/>
              <w:sz w:val="24"/>
              <w:szCs w:val="22"/>
            </w:rPr>
            <w:fldChar w:fldCharType="end"/>
          </w:r>
          <w:r>
            <w:rPr>
              <w:rFonts w:hint="default" w:ascii="Times New Roman" w:hAnsi="Times New Roman" w:eastAsia="黑体" w:cs="Times New Roman"/>
              <w:bCs/>
              <w:sz w:val="24"/>
              <w:szCs w:val="40"/>
              <w:lang w:eastAsia="zh-CN"/>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rPr>
          </w:pPr>
          <w:r>
            <w:rPr>
              <w:rFonts w:hint="default" w:ascii="Times New Roman" w:hAnsi="Times New Roman" w:eastAsia="黑体" w:cs="Times New Roman"/>
              <w:bCs/>
              <w:szCs w:val="32"/>
              <w:lang w:eastAsia="zh-CN"/>
            </w:rPr>
            <w:fldChar w:fldCharType="begin"/>
          </w:r>
          <w:r>
            <w:rPr>
              <w:rFonts w:hint="default" w:ascii="Times New Roman" w:hAnsi="Times New Roman" w:eastAsia="黑体" w:cs="Times New Roman"/>
              <w:bCs/>
              <w:szCs w:val="32"/>
              <w:lang w:eastAsia="zh-CN"/>
            </w:rPr>
            <w:instrText xml:space="preserve"> HYPERLINK \l _Toc7989 </w:instrText>
          </w:r>
          <w:r>
            <w:rPr>
              <w:rFonts w:hint="default" w:ascii="Times New Roman" w:hAnsi="Times New Roman" w:eastAsia="黑体" w:cs="Times New Roman"/>
              <w:bCs/>
              <w:szCs w:val="32"/>
              <w:lang w:eastAsia="zh-CN"/>
            </w:rPr>
            <w:fldChar w:fldCharType="separate"/>
          </w:r>
          <w:r>
            <w:rPr>
              <w:rFonts w:hint="default" w:ascii="Times New Roman" w:hAnsi="Times New Roman" w:cs="Times New Roman"/>
              <w:bCs/>
              <w:szCs w:val="21"/>
              <w:lang w:val="en-US" w:eastAsia="zh-CN"/>
            </w:rPr>
            <w:t>2.1主题工程建设基本情况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_Toc7989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eastAsia="黑体" w:cs="Times New Roman"/>
              <w:bCs/>
              <w:szCs w:val="32"/>
              <w:lang w:eastAsia="zh-CN"/>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rPr>
          </w:pPr>
          <w:r>
            <w:rPr>
              <w:rFonts w:hint="default" w:ascii="Times New Roman" w:hAnsi="Times New Roman" w:eastAsia="黑体" w:cs="Times New Roman"/>
              <w:bCs/>
              <w:szCs w:val="32"/>
              <w:lang w:eastAsia="zh-CN"/>
            </w:rPr>
            <w:fldChar w:fldCharType="begin"/>
          </w:r>
          <w:r>
            <w:rPr>
              <w:rFonts w:hint="default" w:ascii="Times New Roman" w:hAnsi="Times New Roman" w:eastAsia="黑体" w:cs="Times New Roman"/>
              <w:bCs/>
              <w:szCs w:val="32"/>
              <w:lang w:eastAsia="zh-CN"/>
            </w:rPr>
            <w:instrText xml:space="preserve"> HYPERLINK \l _Toc27831 </w:instrText>
          </w:r>
          <w:r>
            <w:rPr>
              <w:rFonts w:hint="default" w:ascii="Times New Roman" w:hAnsi="Times New Roman" w:eastAsia="黑体" w:cs="Times New Roman"/>
              <w:bCs/>
              <w:szCs w:val="32"/>
              <w:lang w:eastAsia="zh-CN"/>
            </w:rPr>
            <w:fldChar w:fldCharType="separate"/>
          </w:r>
          <w:r>
            <w:rPr>
              <w:rFonts w:hint="default" w:ascii="Times New Roman" w:hAnsi="Times New Roman" w:eastAsia="宋体" w:cs="Times New Roman"/>
              <w:bCs/>
              <w:kern w:val="2"/>
              <w:szCs w:val="21"/>
              <w:lang w:val="en-US" w:eastAsia="zh-CN"/>
            </w:rPr>
            <w:t>2.2主体工程进展情况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_Toc27831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eastAsia="黑体" w:cs="Times New Roman"/>
              <w:bCs/>
              <w:szCs w:val="32"/>
              <w:lang w:eastAsia="zh-CN"/>
            </w:rPr>
            <w:fldChar w:fldCharType="end"/>
          </w:r>
        </w:p>
        <w:p>
          <w:pPr>
            <w:pStyle w:val="15"/>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2"/>
            </w:rPr>
          </w:pPr>
          <w:r>
            <w:rPr>
              <w:rFonts w:hint="default" w:ascii="Times New Roman" w:hAnsi="Times New Roman" w:eastAsia="黑体" w:cs="Times New Roman"/>
              <w:bCs/>
              <w:sz w:val="24"/>
              <w:szCs w:val="40"/>
              <w:lang w:eastAsia="zh-CN"/>
            </w:rPr>
            <w:fldChar w:fldCharType="begin"/>
          </w:r>
          <w:r>
            <w:rPr>
              <w:rFonts w:hint="default" w:ascii="Times New Roman" w:hAnsi="Times New Roman" w:eastAsia="黑体" w:cs="Times New Roman"/>
              <w:bCs/>
              <w:sz w:val="24"/>
              <w:szCs w:val="40"/>
              <w:lang w:eastAsia="zh-CN"/>
            </w:rPr>
            <w:instrText xml:space="preserve"> HYPERLINK \l _Toc12861 </w:instrText>
          </w:r>
          <w:r>
            <w:rPr>
              <w:rFonts w:hint="default" w:ascii="Times New Roman" w:hAnsi="Times New Roman" w:eastAsia="黑体" w:cs="Times New Roman"/>
              <w:bCs/>
              <w:sz w:val="24"/>
              <w:szCs w:val="40"/>
              <w:lang w:eastAsia="zh-CN"/>
            </w:rPr>
            <w:fldChar w:fldCharType="separate"/>
          </w:r>
          <w:r>
            <w:rPr>
              <w:rFonts w:hint="default" w:ascii="Times New Roman" w:hAnsi="Times New Roman" w:eastAsia="宋体" w:cs="Times New Roman"/>
              <w:bCs w:val="0"/>
              <w:kern w:val="0"/>
              <w:sz w:val="24"/>
              <w:szCs w:val="40"/>
              <w:lang w:val="en-US" w:eastAsia="zh-CN" w:bidi="en-US"/>
            </w:rPr>
            <w:t>3、监测工程进展情况</w:t>
          </w:r>
          <w:r>
            <w:rPr>
              <w:rFonts w:hint="default" w:ascii="Times New Roman" w:hAnsi="Times New Roman" w:cs="Times New Roman"/>
              <w:sz w:val="24"/>
              <w:szCs w:val="22"/>
            </w:rPr>
            <w:tab/>
          </w:r>
          <w:r>
            <w:rPr>
              <w:rFonts w:hint="default" w:ascii="Times New Roman" w:hAnsi="Times New Roman" w:cs="Times New Roman"/>
              <w:sz w:val="24"/>
              <w:szCs w:val="22"/>
            </w:rPr>
            <w:fldChar w:fldCharType="begin"/>
          </w:r>
          <w:r>
            <w:rPr>
              <w:rFonts w:hint="default" w:ascii="Times New Roman" w:hAnsi="Times New Roman" w:cs="Times New Roman"/>
              <w:sz w:val="24"/>
              <w:szCs w:val="22"/>
            </w:rPr>
            <w:instrText xml:space="preserve"> PAGEREF _Toc12861 \h </w:instrText>
          </w:r>
          <w:r>
            <w:rPr>
              <w:rFonts w:hint="default" w:ascii="Times New Roman" w:hAnsi="Times New Roman" w:cs="Times New Roman"/>
              <w:sz w:val="24"/>
              <w:szCs w:val="22"/>
            </w:rPr>
            <w:fldChar w:fldCharType="separate"/>
          </w:r>
          <w:r>
            <w:rPr>
              <w:rFonts w:hint="default" w:ascii="Times New Roman" w:hAnsi="Times New Roman" w:cs="Times New Roman"/>
              <w:sz w:val="24"/>
              <w:szCs w:val="22"/>
            </w:rPr>
            <w:t>5</w:t>
          </w:r>
          <w:r>
            <w:rPr>
              <w:rFonts w:hint="default" w:ascii="Times New Roman" w:hAnsi="Times New Roman" w:cs="Times New Roman"/>
              <w:sz w:val="24"/>
              <w:szCs w:val="22"/>
            </w:rPr>
            <w:fldChar w:fldCharType="end"/>
          </w:r>
          <w:r>
            <w:rPr>
              <w:rFonts w:hint="default" w:ascii="Times New Roman" w:hAnsi="Times New Roman" w:eastAsia="黑体" w:cs="Times New Roman"/>
              <w:bCs/>
              <w:sz w:val="24"/>
              <w:szCs w:val="40"/>
              <w:lang w:eastAsia="zh-CN"/>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rPr>
          </w:pPr>
          <w:r>
            <w:rPr>
              <w:rFonts w:hint="default" w:ascii="Times New Roman" w:hAnsi="Times New Roman" w:eastAsia="黑体" w:cs="Times New Roman"/>
              <w:bCs/>
              <w:szCs w:val="32"/>
              <w:lang w:eastAsia="zh-CN"/>
            </w:rPr>
            <w:fldChar w:fldCharType="begin"/>
          </w:r>
          <w:r>
            <w:rPr>
              <w:rFonts w:hint="default" w:ascii="Times New Roman" w:hAnsi="Times New Roman" w:eastAsia="黑体" w:cs="Times New Roman"/>
              <w:bCs/>
              <w:szCs w:val="32"/>
              <w:lang w:eastAsia="zh-CN"/>
            </w:rPr>
            <w:instrText xml:space="preserve"> HYPERLINK \l _Toc24634 </w:instrText>
          </w:r>
          <w:r>
            <w:rPr>
              <w:rFonts w:hint="default" w:ascii="Times New Roman" w:hAnsi="Times New Roman" w:eastAsia="黑体" w:cs="Times New Roman"/>
              <w:bCs/>
              <w:szCs w:val="32"/>
              <w:lang w:eastAsia="zh-CN"/>
            </w:rPr>
            <w:fldChar w:fldCharType="separate"/>
          </w:r>
          <w:r>
            <w:rPr>
              <w:rFonts w:hint="default" w:ascii="Times New Roman" w:hAnsi="Times New Roman" w:eastAsia="宋体" w:cs="Times New Roman"/>
              <w:bCs/>
              <w:kern w:val="2"/>
              <w:szCs w:val="21"/>
              <w:lang w:val="en-US" w:eastAsia="zh-CN"/>
            </w:rPr>
            <w:t>3.1水土保持监测内容</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_Toc24634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黑体" w:cs="Times New Roman"/>
              <w:bCs/>
              <w:szCs w:val="32"/>
              <w:lang w:eastAsia="zh-CN"/>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rPr>
          </w:pPr>
          <w:r>
            <w:rPr>
              <w:rFonts w:hint="default" w:ascii="Times New Roman" w:hAnsi="Times New Roman" w:eastAsia="黑体" w:cs="Times New Roman"/>
              <w:bCs/>
              <w:szCs w:val="32"/>
              <w:lang w:eastAsia="zh-CN"/>
            </w:rPr>
            <w:fldChar w:fldCharType="begin"/>
          </w:r>
          <w:r>
            <w:rPr>
              <w:rFonts w:hint="default" w:ascii="Times New Roman" w:hAnsi="Times New Roman" w:eastAsia="黑体" w:cs="Times New Roman"/>
              <w:bCs/>
              <w:szCs w:val="32"/>
              <w:lang w:eastAsia="zh-CN"/>
            </w:rPr>
            <w:instrText xml:space="preserve"> HYPERLINK \l _Toc129 </w:instrText>
          </w:r>
          <w:r>
            <w:rPr>
              <w:rFonts w:hint="default" w:ascii="Times New Roman" w:hAnsi="Times New Roman" w:eastAsia="黑体" w:cs="Times New Roman"/>
              <w:bCs/>
              <w:szCs w:val="32"/>
              <w:lang w:eastAsia="zh-CN"/>
            </w:rPr>
            <w:fldChar w:fldCharType="separate"/>
          </w:r>
          <w:r>
            <w:rPr>
              <w:rFonts w:hint="default" w:ascii="Times New Roman" w:hAnsi="Times New Roman" w:eastAsia="宋体" w:cs="Times New Roman"/>
              <w:bCs/>
              <w:kern w:val="2"/>
              <w:szCs w:val="21"/>
              <w:lang w:val="en-US" w:eastAsia="zh-CN"/>
            </w:rPr>
            <w:t>3.2水土保持监测方法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_Toc129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eastAsia="黑体" w:cs="Times New Roman"/>
              <w:bCs/>
              <w:szCs w:val="32"/>
              <w:lang w:eastAsia="zh-CN"/>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rPr>
          </w:pPr>
          <w:r>
            <w:rPr>
              <w:rFonts w:hint="default" w:ascii="Times New Roman" w:hAnsi="Times New Roman" w:eastAsia="黑体" w:cs="Times New Roman"/>
              <w:bCs/>
              <w:szCs w:val="32"/>
              <w:lang w:eastAsia="zh-CN"/>
            </w:rPr>
            <w:fldChar w:fldCharType="begin"/>
          </w:r>
          <w:r>
            <w:rPr>
              <w:rFonts w:hint="default" w:ascii="Times New Roman" w:hAnsi="Times New Roman" w:eastAsia="黑体" w:cs="Times New Roman"/>
              <w:bCs/>
              <w:szCs w:val="32"/>
              <w:lang w:eastAsia="zh-CN"/>
            </w:rPr>
            <w:instrText xml:space="preserve"> HYPERLINK \l _Toc28451 </w:instrText>
          </w:r>
          <w:r>
            <w:rPr>
              <w:rFonts w:hint="default" w:ascii="Times New Roman" w:hAnsi="Times New Roman" w:eastAsia="黑体" w:cs="Times New Roman"/>
              <w:bCs/>
              <w:szCs w:val="32"/>
              <w:lang w:eastAsia="zh-CN"/>
            </w:rPr>
            <w:fldChar w:fldCharType="separate"/>
          </w:r>
          <w:r>
            <w:rPr>
              <w:rFonts w:hint="default" w:ascii="Times New Roman" w:hAnsi="Times New Roman" w:eastAsia="宋体" w:cs="Times New Roman"/>
              <w:bCs/>
              <w:kern w:val="2"/>
              <w:szCs w:val="21"/>
              <w:lang w:val="en-US" w:eastAsia="zh-CN"/>
            </w:rPr>
            <w:t>3.3监测点</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_Toc28451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eastAsia="黑体" w:cs="Times New Roman"/>
              <w:bCs/>
              <w:szCs w:val="32"/>
              <w:lang w:eastAsia="zh-CN"/>
            </w:rPr>
            <w:fldChar w:fldCharType="end"/>
          </w:r>
        </w:p>
        <w:p>
          <w:pPr>
            <w:pStyle w:val="15"/>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2"/>
            </w:rPr>
          </w:pPr>
          <w:r>
            <w:rPr>
              <w:rFonts w:hint="default" w:ascii="Times New Roman" w:hAnsi="Times New Roman" w:eastAsia="黑体" w:cs="Times New Roman"/>
              <w:bCs/>
              <w:sz w:val="24"/>
              <w:szCs w:val="40"/>
              <w:lang w:eastAsia="zh-CN"/>
            </w:rPr>
            <w:fldChar w:fldCharType="begin"/>
          </w:r>
          <w:r>
            <w:rPr>
              <w:rFonts w:hint="default" w:ascii="Times New Roman" w:hAnsi="Times New Roman" w:eastAsia="黑体" w:cs="Times New Roman"/>
              <w:bCs/>
              <w:sz w:val="24"/>
              <w:szCs w:val="40"/>
              <w:lang w:eastAsia="zh-CN"/>
            </w:rPr>
            <w:instrText xml:space="preserve"> HYPERLINK \l _Toc2633 </w:instrText>
          </w:r>
          <w:r>
            <w:rPr>
              <w:rFonts w:hint="default" w:ascii="Times New Roman" w:hAnsi="Times New Roman" w:eastAsia="黑体" w:cs="Times New Roman"/>
              <w:bCs/>
              <w:sz w:val="24"/>
              <w:szCs w:val="40"/>
              <w:lang w:eastAsia="zh-CN"/>
            </w:rPr>
            <w:fldChar w:fldCharType="separate"/>
          </w:r>
          <w:r>
            <w:rPr>
              <w:rFonts w:hint="default" w:ascii="Times New Roman" w:hAnsi="Times New Roman" w:eastAsia="宋体" w:cs="Times New Roman"/>
              <w:bCs w:val="0"/>
              <w:kern w:val="0"/>
              <w:sz w:val="24"/>
              <w:szCs w:val="40"/>
              <w:lang w:val="en-US" w:eastAsia="zh-CN" w:bidi="en-US"/>
            </w:rPr>
            <w:t>4、监测结果与分析</w:t>
          </w:r>
          <w:r>
            <w:rPr>
              <w:rFonts w:hint="default" w:ascii="Times New Roman" w:hAnsi="Times New Roman" w:cs="Times New Roman"/>
              <w:sz w:val="24"/>
              <w:szCs w:val="22"/>
            </w:rPr>
            <w:tab/>
          </w:r>
          <w:r>
            <w:rPr>
              <w:rFonts w:hint="default" w:ascii="Times New Roman" w:hAnsi="Times New Roman" w:cs="Times New Roman"/>
              <w:sz w:val="24"/>
              <w:szCs w:val="22"/>
            </w:rPr>
            <w:fldChar w:fldCharType="begin"/>
          </w:r>
          <w:r>
            <w:rPr>
              <w:rFonts w:hint="default" w:ascii="Times New Roman" w:hAnsi="Times New Roman" w:cs="Times New Roman"/>
              <w:sz w:val="24"/>
              <w:szCs w:val="22"/>
            </w:rPr>
            <w:instrText xml:space="preserve"> PAGEREF _Toc2633 \h </w:instrText>
          </w:r>
          <w:r>
            <w:rPr>
              <w:rFonts w:hint="default" w:ascii="Times New Roman" w:hAnsi="Times New Roman" w:cs="Times New Roman"/>
              <w:sz w:val="24"/>
              <w:szCs w:val="22"/>
            </w:rPr>
            <w:fldChar w:fldCharType="separate"/>
          </w:r>
          <w:r>
            <w:rPr>
              <w:rFonts w:hint="default" w:ascii="Times New Roman" w:hAnsi="Times New Roman" w:cs="Times New Roman"/>
              <w:sz w:val="24"/>
              <w:szCs w:val="22"/>
            </w:rPr>
            <w:t>9</w:t>
          </w:r>
          <w:r>
            <w:rPr>
              <w:rFonts w:hint="default" w:ascii="Times New Roman" w:hAnsi="Times New Roman" w:cs="Times New Roman"/>
              <w:sz w:val="24"/>
              <w:szCs w:val="22"/>
            </w:rPr>
            <w:fldChar w:fldCharType="end"/>
          </w:r>
          <w:r>
            <w:rPr>
              <w:rFonts w:hint="default" w:ascii="Times New Roman" w:hAnsi="Times New Roman" w:eastAsia="黑体" w:cs="Times New Roman"/>
              <w:bCs/>
              <w:sz w:val="24"/>
              <w:szCs w:val="40"/>
              <w:lang w:eastAsia="zh-CN"/>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rPr>
          </w:pPr>
          <w:r>
            <w:rPr>
              <w:rFonts w:hint="default" w:ascii="Times New Roman" w:hAnsi="Times New Roman" w:eastAsia="黑体" w:cs="Times New Roman"/>
              <w:bCs/>
              <w:szCs w:val="32"/>
              <w:lang w:eastAsia="zh-CN"/>
            </w:rPr>
            <w:fldChar w:fldCharType="begin"/>
          </w:r>
          <w:r>
            <w:rPr>
              <w:rFonts w:hint="default" w:ascii="Times New Roman" w:hAnsi="Times New Roman" w:eastAsia="黑体" w:cs="Times New Roman"/>
              <w:bCs/>
              <w:szCs w:val="32"/>
              <w:lang w:eastAsia="zh-CN"/>
            </w:rPr>
            <w:instrText xml:space="preserve"> HYPERLINK \l _Toc17251 </w:instrText>
          </w:r>
          <w:r>
            <w:rPr>
              <w:rFonts w:hint="default" w:ascii="Times New Roman" w:hAnsi="Times New Roman" w:eastAsia="黑体" w:cs="Times New Roman"/>
              <w:bCs/>
              <w:szCs w:val="32"/>
              <w:lang w:eastAsia="zh-CN"/>
            </w:rPr>
            <w:fldChar w:fldCharType="separate"/>
          </w:r>
          <w:r>
            <w:rPr>
              <w:rFonts w:hint="default" w:ascii="Times New Roman" w:hAnsi="Times New Roman" w:eastAsia="宋体" w:cs="Times New Roman"/>
              <w:bCs/>
              <w:kern w:val="2"/>
              <w:szCs w:val="21"/>
              <w:lang w:val="en-US" w:eastAsia="zh-CN"/>
            </w:rPr>
            <w:t>4.1重点监测指标监测结果分析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_Toc17251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黑体" w:cs="Times New Roman"/>
              <w:bCs/>
              <w:szCs w:val="32"/>
              <w:lang w:eastAsia="zh-CN"/>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rPr>
          </w:pPr>
          <w:r>
            <w:rPr>
              <w:rFonts w:hint="default" w:ascii="Times New Roman" w:hAnsi="Times New Roman" w:eastAsia="黑体" w:cs="Times New Roman"/>
              <w:bCs/>
              <w:szCs w:val="32"/>
              <w:lang w:eastAsia="zh-CN"/>
            </w:rPr>
            <w:fldChar w:fldCharType="begin"/>
          </w:r>
          <w:r>
            <w:rPr>
              <w:rFonts w:hint="default" w:ascii="Times New Roman" w:hAnsi="Times New Roman" w:eastAsia="黑体" w:cs="Times New Roman"/>
              <w:bCs/>
              <w:szCs w:val="32"/>
              <w:lang w:eastAsia="zh-CN"/>
            </w:rPr>
            <w:instrText xml:space="preserve"> HYPERLINK \l _Toc31075 </w:instrText>
          </w:r>
          <w:r>
            <w:rPr>
              <w:rFonts w:hint="default" w:ascii="Times New Roman" w:hAnsi="Times New Roman" w:eastAsia="黑体" w:cs="Times New Roman"/>
              <w:bCs/>
              <w:szCs w:val="32"/>
              <w:lang w:eastAsia="zh-CN"/>
            </w:rPr>
            <w:fldChar w:fldCharType="separate"/>
          </w:r>
          <w:r>
            <w:rPr>
              <w:rFonts w:hint="default" w:ascii="Times New Roman" w:hAnsi="Times New Roman" w:eastAsia="宋体" w:cs="Times New Roman"/>
              <w:bCs/>
              <w:kern w:val="2"/>
              <w:szCs w:val="21"/>
              <w:lang w:val="en-US" w:eastAsia="zh-CN"/>
            </w:rPr>
            <w:t>4.2水土流失防治效果监测结果与分析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_Toc31075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eastAsia="黑体" w:cs="Times New Roman"/>
              <w:bCs/>
              <w:szCs w:val="32"/>
              <w:lang w:eastAsia="zh-CN"/>
            </w:rPr>
            <w:fldChar w:fldCharType="end"/>
          </w:r>
        </w:p>
        <w:p>
          <w:pPr>
            <w:pStyle w:val="15"/>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2"/>
            </w:rPr>
          </w:pPr>
          <w:r>
            <w:rPr>
              <w:rFonts w:hint="default" w:ascii="Times New Roman" w:hAnsi="Times New Roman" w:eastAsia="黑体" w:cs="Times New Roman"/>
              <w:bCs/>
              <w:sz w:val="24"/>
              <w:szCs w:val="40"/>
              <w:lang w:eastAsia="zh-CN"/>
            </w:rPr>
            <w:fldChar w:fldCharType="begin"/>
          </w:r>
          <w:r>
            <w:rPr>
              <w:rFonts w:hint="default" w:ascii="Times New Roman" w:hAnsi="Times New Roman" w:eastAsia="黑体" w:cs="Times New Roman"/>
              <w:bCs/>
              <w:sz w:val="24"/>
              <w:szCs w:val="40"/>
              <w:lang w:eastAsia="zh-CN"/>
            </w:rPr>
            <w:instrText xml:space="preserve"> HYPERLINK \l _Toc28843 </w:instrText>
          </w:r>
          <w:r>
            <w:rPr>
              <w:rFonts w:hint="default" w:ascii="Times New Roman" w:hAnsi="Times New Roman" w:eastAsia="黑体" w:cs="Times New Roman"/>
              <w:bCs/>
              <w:sz w:val="24"/>
              <w:szCs w:val="40"/>
              <w:lang w:eastAsia="zh-CN"/>
            </w:rPr>
            <w:fldChar w:fldCharType="separate"/>
          </w:r>
          <w:r>
            <w:rPr>
              <w:rFonts w:hint="default" w:ascii="Times New Roman" w:hAnsi="Times New Roman" w:cs="Times New Roman"/>
              <w:bCs w:val="0"/>
              <w:kern w:val="0"/>
              <w:sz w:val="24"/>
              <w:szCs w:val="40"/>
              <w:lang w:val="en-US" w:eastAsia="zh-CN" w:bidi="en-US"/>
            </w:rPr>
            <w:t>5</w:t>
          </w:r>
          <w:r>
            <w:rPr>
              <w:rFonts w:hint="default" w:ascii="Times New Roman" w:hAnsi="Times New Roman" w:eastAsia="宋体" w:cs="Times New Roman"/>
              <w:bCs w:val="0"/>
              <w:kern w:val="0"/>
              <w:sz w:val="24"/>
              <w:szCs w:val="40"/>
              <w:lang w:val="en-US" w:eastAsia="zh-CN" w:bidi="en-US"/>
            </w:rPr>
            <w:t>、</w:t>
          </w:r>
          <w:r>
            <w:rPr>
              <w:rFonts w:hint="default" w:ascii="Times New Roman" w:hAnsi="Times New Roman" w:cs="Times New Roman"/>
              <w:bCs w:val="0"/>
              <w:kern w:val="0"/>
              <w:sz w:val="24"/>
              <w:szCs w:val="40"/>
              <w:lang w:val="en-US" w:eastAsia="zh-CN" w:bidi="en-US"/>
            </w:rPr>
            <w:t>现场调查与分析</w:t>
          </w:r>
          <w:r>
            <w:rPr>
              <w:rFonts w:hint="default" w:ascii="Times New Roman" w:hAnsi="Times New Roman" w:cs="Times New Roman"/>
              <w:sz w:val="24"/>
              <w:szCs w:val="22"/>
            </w:rPr>
            <w:tab/>
          </w:r>
          <w:r>
            <w:rPr>
              <w:rFonts w:hint="default" w:ascii="Times New Roman" w:hAnsi="Times New Roman" w:cs="Times New Roman"/>
              <w:sz w:val="24"/>
              <w:szCs w:val="22"/>
            </w:rPr>
            <w:fldChar w:fldCharType="begin"/>
          </w:r>
          <w:r>
            <w:rPr>
              <w:rFonts w:hint="default" w:ascii="Times New Roman" w:hAnsi="Times New Roman" w:cs="Times New Roman"/>
              <w:sz w:val="24"/>
              <w:szCs w:val="22"/>
            </w:rPr>
            <w:instrText xml:space="preserve"> PAGEREF _Toc28843 \h </w:instrText>
          </w:r>
          <w:r>
            <w:rPr>
              <w:rFonts w:hint="default" w:ascii="Times New Roman" w:hAnsi="Times New Roman" w:cs="Times New Roman"/>
              <w:sz w:val="24"/>
              <w:szCs w:val="22"/>
            </w:rPr>
            <w:fldChar w:fldCharType="separate"/>
          </w:r>
          <w:r>
            <w:rPr>
              <w:rFonts w:hint="default" w:ascii="Times New Roman" w:hAnsi="Times New Roman" w:cs="Times New Roman"/>
              <w:sz w:val="24"/>
              <w:szCs w:val="22"/>
            </w:rPr>
            <w:t>11</w:t>
          </w:r>
          <w:r>
            <w:rPr>
              <w:rFonts w:hint="default" w:ascii="Times New Roman" w:hAnsi="Times New Roman" w:cs="Times New Roman"/>
              <w:sz w:val="24"/>
              <w:szCs w:val="22"/>
            </w:rPr>
            <w:fldChar w:fldCharType="end"/>
          </w:r>
          <w:r>
            <w:rPr>
              <w:rFonts w:hint="default" w:ascii="Times New Roman" w:hAnsi="Times New Roman" w:eastAsia="黑体" w:cs="Times New Roman"/>
              <w:bCs/>
              <w:sz w:val="24"/>
              <w:szCs w:val="40"/>
              <w:lang w:eastAsia="zh-CN"/>
            </w:rPr>
            <w:fldChar w:fldCharType="end"/>
          </w:r>
        </w:p>
        <w:p>
          <w:pPr>
            <w:pStyle w:val="20"/>
            <w:keepNext w:val="0"/>
            <w:keepLines w:val="0"/>
            <w:pageBreakBefore w:val="0"/>
            <w:widowControl/>
            <w:kinsoku/>
            <w:wordWrap/>
            <w:overflowPunct/>
            <w:topLinePunct w:val="0"/>
            <w:autoSpaceDE/>
            <w:autoSpaceDN/>
            <w:bidi w:val="0"/>
            <w:adjustRightInd/>
            <w:snapToGrid/>
            <w:spacing w:line="480" w:lineRule="auto"/>
            <w:jc w:val="center"/>
            <w:textAlignment w:val="auto"/>
            <w:rPr>
              <w:rFonts w:hint="default" w:ascii="Times New Roman" w:hAnsi="Times New Roman" w:eastAsia="黑体" w:cs="Times New Roman"/>
              <w:b/>
              <w:bCs/>
              <w:sz w:val="32"/>
              <w:szCs w:val="32"/>
              <w:lang w:eastAsia="zh-CN"/>
            </w:rPr>
            <w:sectPr>
              <w:pgSz w:w="11922" w:h="16838"/>
              <w:pgMar w:top="1440" w:right="1440" w:bottom="1440" w:left="1440" w:header="850" w:footer="992" w:gutter="0"/>
              <w:pgBorders>
                <w:top w:val="none" w:sz="0" w:space="0"/>
                <w:left w:val="none" w:sz="0" w:space="0"/>
                <w:bottom w:val="none" w:sz="0" w:space="0"/>
                <w:right w:val="none" w:sz="0" w:space="0"/>
              </w:pgBorders>
              <w:cols w:space="0" w:num="1"/>
              <w:rtlGutter w:val="0"/>
              <w:docGrid w:linePitch="312" w:charSpace="0"/>
            </w:sectPr>
          </w:pPr>
          <w:r>
            <w:rPr>
              <w:rFonts w:hint="default" w:ascii="Times New Roman" w:hAnsi="Times New Roman" w:eastAsia="黑体" w:cs="Times New Roman"/>
              <w:bCs/>
              <w:szCs w:val="32"/>
              <w:lang w:eastAsia="zh-CN"/>
            </w:rPr>
            <w:fldChar w:fldCharType="end"/>
          </w:r>
        </w:p>
      </w:sdtContent>
    </w:sdt>
    <w:p>
      <w:pPr>
        <w:pStyle w:val="3"/>
        <w:bidi w:val="0"/>
        <w:ind w:left="0" w:leftChars="0" w:firstLine="0" w:firstLineChars="0"/>
        <w:jc w:val="center"/>
        <w:rPr>
          <w:rFonts w:hint="default"/>
          <w:lang w:val="en-US" w:eastAsia="zh-CN"/>
        </w:rPr>
      </w:pPr>
      <w:bookmarkStart w:id="44" w:name="_Toc9801"/>
      <w:r>
        <w:rPr>
          <w:rFonts w:hint="default"/>
          <w:lang w:val="en-US" w:eastAsia="zh-CN"/>
        </w:rPr>
        <w:t>1、生产建设项目水土保持监测季度报告表</w:t>
      </w:r>
      <w:bookmarkEnd w:id="44"/>
    </w:p>
    <w:p>
      <w:pPr>
        <w:bidi w:val="0"/>
        <w:rPr>
          <w:rFonts w:hint="default" w:ascii="Times New Roman" w:hAnsi="Times New Roman" w:cs="Times New Roman"/>
          <w:lang w:val="en-US" w:eastAsia="zh-CN"/>
        </w:rPr>
      </w:pPr>
      <w:r>
        <w:rPr>
          <w:rFonts w:hint="default"/>
          <w:lang w:val="en-US" w:eastAsia="zh-CN"/>
        </w:rPr>
        <w:t>监测时段：20</w:t>
      </w:r>
      <w:r>
        <w:rPr>
          <w:rFonts w:hint="eastAsia"/>
          <w:lang w:val="en-US" w:eastAsia="zh-CN"/>
        </w:rPr>
        <w:t>21</w:t>
      </w:r>
      <w:r>
        <w:rPr>
          <w:rFonts w:hint="default"/>
          <w:lang w:val="en-US" w:eastAsia="zh-CN"/>
        </w:rPr>
        <w:t>年</w:t>
      </w:r>
      <w:r>
        <w:rPr>
          <w:rFonts w:hint="eastAsia"/>
          <w:lang w:val="en-US" w:eastAsia="zh-CN"/>
        </w:rPr>
        <w:t>12</w:t>
      </w:r>
      <w:r>
        <w:rPr>
          <w:rFonts w:hint="default"/>
          <w:lang w:val="en-US" w:eastAsia="zh-CN"/>
        </w:rPr>
        <w:t>月</w:t>
      </w:r>
    </w:p>
    <w:tbl>
      <w:tblPr>
        <w:tblStyle w:val="2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2"/>
        <w:gridCol w:w="1108"/>
        <w:gridCol w:w="232"/>
        <w:gridCol w:w="1360"/>
        <w:gridCol w:w="906"/>
        <w:gridCol w:w="1416"/>
        <w:gridCol w:w="141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309" w:type="pct"/>
            <w:gridSpan w:val="3"/>
            <w:vAlign w:val="center"/>
          </w:tcPr>
          <w:p>
            <w:pPr>
              <w:widowControl w:val="0"/>
              <w:spacing w:line="240" w:lineRule="auto"/>
              <w:jc w:val="center"/>
              <w:rPr>
                <w:rFonts w:hint="eastAsia" w:ascii="仿宋" w:hAnsi="仿宋" w:eastAsia="仿宋" w:cs="仿宋"/>
                <w:bCs/>
                <w:kern w:val="2"/>
                <w:sz w:val="21"/>
                <w:szCs w:val="21"/>
                <w:highlight w:val="none"/>
                <w:lang w:val="en-US" w:eastAsia="zh-CN" w:bidi="ar-SA"/>
              </w:rPr>
            </w:pPr>
            <w:r>
              <w:rPr>
                <w:rFonts w:hint="eastAsia" w:ascii="仿宋" w:hAnsi="仿宋" w:eastAsia="仿宋" w:cs="仿宋"/>
                <w:bCs/>
                <w:sz w:val="21"/>
                <w:szCs w:val="21"/>
                <w:highlight w:val="none"/>
                <w:lang w:val="en-US" w:eastAsia="zh-CN" w:bidi="ar-SA"/>
              </w:rPr>
              <w:t>项目名称</w:t>
            </w:r>
          </w:p>
        </w:tc>
        <w:tc>
          <w:tcPr>
            <w:tcW w:w="3690" w:type="pct"/>
            <w:gridSpan w:val="5"/>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衡阳市廻雁峰公园地下停车场建设工程项目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309" w:type="pct"/>
            <w:gridSpan w:val="3"/>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建设单位联系人及电话</w:t>
            </w:r>
          </w:p>
        </w:tc>
        <w:tc>
          <w:tcPr>
            <w:tcW w:w="1138"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1556"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监测项目负责人</w:t>
            </w:r>
          </w:p>
          <w:p>
            <w:pPr>
              <w:pStyle w:val="2"/>
              <w:widowControl w:val="0"/>
              <w:rPr>
                <w:rFonts w:hint="eastAsia"/>
                <w:highlight w:val="none"/>
                <w:lang w:val="en-US" w:eastAsia="zh-CN"/>
              </w:rPr>
            </w:pPr>
          </w:p>
          <w:p>
            <w:pPr>
              <w:widowControl w:val="0"/>
              <w:spacing w:line="240" w:lineRule="auto"/>
              <w:ind w:left="0" w:leftChars="0" w:firstLine="0" w:firstLineChars="0"/>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（签字）：</w:t>
            </w: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生产建设单位</w:t>
            </w:r>
          </w:p>
          <w:p>
            <w:pPr>
              <w:pStyle w:val="2"/>
              <w:widowControl w:val="0"/>
              <w:rPr>
                <w:rFonts w:hint="eastAsia"/>
                <w:highlight w:val="none"/>
                <w:lang w:val="en-US" w:eastAsia="zh-CN"/>
              </w:rPr>
            </w:pPr>
          </w:p>
          <w:p>
            <w:pPr>
              <w:widowControl w:val="0"/>
              <w:spacing w:line="240" w:lineRule="auto"/>
              <w:ind w:left="0" w:leftChars="0" w:firstLine="630" w:firstLineChars="30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09" w:type="pct"/>
            <w:gridSpan w:val="3"/>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填表人及电话</w:t>
            </w:r>
          </w:p>
        </w:tc>
        <w:tc>
          <w:tcPr>
            <w:tcW w:w="1138"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1556"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年  月  日</w:t>
            </w: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309" w:type="pct"/>
            <w:gridSpan w:val="3"/>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主体工程现状及进度</w:t>
            </w:r>
          </w:p>
        </w:tc>
        <w:tc>
          <w:tcPr>
            <w:tcW w:w="3690" w:type="pct"/>
            <w:gridSpan w:val="5"/>
            <w:vAlign w:val="center"/>
          </w:tcPr>
          <w:p>
            <w:pPr>
              <w:widowControl w:val="0"/>
              <w:spacing w:line="240" w:lineRule="auto"/>
              <w:ind w:left="0" w:leftChars="0" w:firstLine="0" w:firstLineChars="0"/>
              <w:jc w:val="left"/>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A、B区以竣工验收，C区因其它原因未开工。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2447" w:type="pct"/>
            <w:gridSpan w:val="5"/>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指标</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设计总量</w:t>
            </w: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本季度</w:t>
            </w:r>
          </w:p>
        </w:tc>
        <w:tc>
          <w:tcPr>
            <w:tcW w:w="996" w:type="pct"/>
            <w:vAlign w:val="center"/>
          </w:tcPr>
          <w:p>
            <w:pPr>
              <w:widowControl w:val="0"/>
              <w:spacing w:line="240" w:lineRule="auto"/>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09" w:type="pct"/>
            <w:gridSpan w:val="3"/>
            <w:vMerge w:val="restar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扰动土地面积（h㎡）</w:t>
            </w:r>
          </w:p>
        </w:tc>
        <w:tc>
          <w:tcPr>
            <w:tcW w:w="1138" w:type="pct"/>
            <w:gridSpan w:val="2"/>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合计</w:t>
            </w:r>
          </w:p>
        </w:tc>
        <w:tc>
          <w:tcPr>
            <w:tcW w:w="779" w:type="pct"/>
            <w:vAlign w:val="center"/>
          </w:tcPr>
          <w:p>
            <w:pPr>
              <w:widowControl w:val="0"/>
              <w:spacing w:line="240" w:lineRule="auto"/>
              <w:ind w:left="0" w:leftChars="0" w:firstLine="0" w:firstLineChars="0"/>
              <w:jc w:val="both"/>
              <w:rPr>
                <w:rFonts w:hint="default"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8.09</w:t>
            </w: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center"/>
              <w:rPr>
                <w:rFonts w:hint="eastAsia" w:ascii="仿宋" w:hAnsi="仿宋" w:eastAsia="仿宋" w:cs="仿宋"/>
                <w:bCs/>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309" w:type="pct"/>
            <w:gridSpan w:val="3"/>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bidi="ar-SA"/>
              </w:rPr>
            </w:pPr>
          </w:p>
        </w:tc>
        <w:tc>
          <w:tcPr>
            <w:tcW w:w="1138" w:type="pct"/>
            <w:gridSpan w:val="2"/>
            <w:vAlign w:val="center"/>
          </w:tcPr>
          <w:p>
            <w:pPr>
              <w:widowControl w:val="0"/>
              <w:spacing w:line="240" w:lineRule="auto"/>
              <w:jc w:val="center"/>
              <w:rPr>
                <w:rFonts w:hint="eastAsia" w:ascii="仿宋" w:hAnsi="仿宋" w:eastAsia="仿宋" w:cs="仿宋"/>
                <w:bCs/>
                <w:sz w:val="21"/>
                <w:szCs w:val="21"/>
                <w:highlight w:val="none"/>
                <w:lang w:val="en-US" w:eastAsia="zh-CN"/>
              </w:rPr>
            </w:pPr>
            <w:r>
              <w:rPr>
                <w:rFonts w:hint="eastAsia" w:ascii="仿宋" w:hAnsi="仿宋" w:eastAsia="仿宋" w:cs="仿宋"/>
                <w:bCs/>
                <w:sz w:val="21"/>
                <w:szCs w:val="21"/>
                <w:highlight w:val="none"/>
              </w:rPr>
              <w:t>建筑区</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309" w:type="pct"/>
            <w:gridSpan w:val="3"/>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bidi="ar-SA"/>
              </w:rPr>
            </w:pPr>
          </w:p>
        </w:tc>
        <w:tc>
          <w:tcPr>
            <w:tcW w:w="1138" w:type="pct"/>
            <w:gridSpan w:val="2"/>
            <w:vAlign w:val="center"/>
          </w:tcPr>
          <w:p>
            <w:pPr>
              <w:widowControl w:val="0"/>
              <w:spacing w:line="240" w:lineRule="auto"/>
              <w:jc w:val="center"/>
              <w:rPr>
                <w:rFonts w:hint="eastAsia" w:ascii="仿宋" w:hAnsi="仿宋" w:eastAsia="仿宋" w:cs="仿宋"/>
                <w:bCs/>
                <w:sz w:val="21"/>
                <w:szCs w:val="21"/>
                <w:highlight w:val="none"/>
                <w:lang w:val="en-US" w:eastAsia="zh-CN"/>
              </w:rPr>
            </w:pPr>
            <w:r>
              <w:rPr>
                <w:rFonts w:hint="eastAsia" w:ascii="仿宋" w:hAnsi="仿宋" w:eastAsia="仿宋" w:cs="仿宋"/>
                <w:bCs/>
                <w:sz w:val="21"/>
                <w:szCs w:val="21"/>
                <w:highlight w:val="none"/>
              </w:rPr>
              <w:t>道路区</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309" w:type="pct"/>
            <w:gridSpan w:val="3"/>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bidi="ar-SA"/>
              </w:rPr>
            </w:pPr>
          </w:p>
        </w:tc>
        <w:tc>
          <w:tcPr>
            <w:tcW w:w="1138" w:type="pct"/>
            <w:gridSpan w:val="2"/>
            <w:vAlign w:val="center"/>
          </w:tcPr>
          <w:p>
            <w:pPr>
              <w:widowControl w:val="0"/>
              <w:spacing w:line="240" w:lineRule="auto"/>
              <w:jc w:val="center"/>
              <w:rPr>
                <w:rFonts w:hint="eastAsia" w:ascii="仿宋" w:hAnsi="仿宋" w:eastAsia="仿宋" w:cs="仿宋"/>
                <w:bCs/>
                <w:sz w:val="21"/>
                <w:szCs w:val="21"/>
                <w:highlight w:val="none"/>
                <w:lang w:val="en-US" w:eastAsia="zh-CN"/>
              </w:rPr>
            </w:pPr>
            <w:r>
              <w:rPr>
                <w:rFonts w:hint="eastAsia" w:ascii="仿宋" w:hAnsi="仿宋" w:eastAsia="仿宋" w:cs="仿宋"/>
                <w:bCs/>
                <w:sz w:val="21"/>
                <w:szCs w:val="21"/>
                <w:highlight w:val="none"/>
              </w:rPr>
              <w:t>停车区</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309" w:type="pct"/>
            <w:gridSpan w:val="3"/>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bidi="ar-SA"/>
              </w:rPr>
            </w:pPr>
          </w:p>
        </w:tc>
        <w:tc>
          <w:tcPr>
            <w:tcW w:w="1138" w:type="pct"/>
            <w:gridSpan w:val="2"/>
            <w:vAlign w:val="center"/>
          </w:tcPr>
          <w:p>
            <w:pPr>
              <w:widowControl w:val="0"/>
              <w:spacing w:line="240" w:lineRule="auto"/>
              <w:jc w:val="center"/>
              <w:rPr>
                <w:rFonts w:hint="eastAsia" w:ascii="仿宋" w:hAnsi="仿宋" w:eastAsia="仿宋" w:cs="仿宋"/>
                <w:bCs/>
                <w:sz w:val="21"/>
                <w:szCs w:val="21"/>
                <w:highlight w:val="none"/>
                <w:lang w:val="en-US" w:eastAsia="zh-CN"/>
              </w:rPr>
            </w:pPr>
            <w:r>
              <w:rPr>
                <w:rFonts w:hint="eastAsia" w:ascii="仿宋" w:hAnsi="仿宋" w:eastAsia="仿宋" w:cs="仿宋"/>
                <w:bCs/>
                <w:sz w:val="21"/>
                <w:szCs w:val="21"/>
                <w:highlight w:val="none"/>
              </w:rPr>
              <w:t>绿化区</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309" w:type="pct"/>
            <w:gridSpan w:val="3"/>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bidi="ar-SA"/>
              </w:rPr>
            </w:pPr>
          </w:p>
        </w:tc>
        <w:tc>
          <w:tcPr>
            <w:tcW w:w="1138" w:type="pct"/>
            <w:gridSpan w:val="2"/>
            <w:vAlign w:val="center"/>
          </w:tcPr>
          <w:p>
            <w:pPr>
              <w:widowControl w:val="0"/>
              <w:spacing w:line="240" w:lineRule="auto"/>
              <w:jc w:val="center"/>
              <w:rPr>
                <w:rFonts w:hint="eastAsia" w:ascii="仿宋" w:hAnsi="仿宋" w:eastAsia="仿宋" w:cs="仿宋"/>
                <w:bCs/>
                <w:sz w:val="21"/>
                <w:szCs w:val="21"/>
                <w:highlight w:val="none"/>
                <w:lang w:val="en-US" w:eastAsia="zh-CN"/>
              </w:rPr>
            </w:pPr>
            <w:r>
              <w:rPr>
                <w:rFonts w:hint="eastAsia" w:ascii="仿宋" w:hAnsi="仿宋" w:eastAsia="仿宋" w:cs="仿宋"/>
                <w:bCs/>
                <w:sz w:val="21"/>
                <w:szCs w:val="21"/>
                <w:highlight w:val="none"/>
              </w:rPr>
              <w:t>水域</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447" w:type="pct"/>
            <w:gridSpan w:val="5"/>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植被占压面积（h㎡）</w:t>
            </w:r>
          </w:p>
        </w:tc>
        <w:tc>
          <w:tcPr>
            <w:tcW w:w="77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1.09</w:t>
            </w:r>
          </w:p>
        </w:tc>
        <w:tc>
          <w:tcPr>
            <w:tcW w:w="77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447" w:type="pct"/>
            <w:gridSpan w:val="5"/>
            <w:vAlign w:val="center"/>
          </w:tcPr>
          <w:p>
            <w:pPr>
              <w:widowControl w:val="0"/>
              <w:spacing w:line="240" w:lineRule="auto"/>
              <w:jc w:val="center"/>
              <w:rPr>
                <w:rFonts w:hint="eastAsia" w:ascii="仿宋" w:hAnsi="仿宋" w:eastAsia="仿宋" w:cs="仿宋"/>
                <w:bCs/>
                <w:kern w:val="2"/>
                <w:sz w:val="21"/>
                <w:szCs w:val="21"/>
                <w:highlight w:val="none"/>
                <w:lang w:val="en-US" w:eastAsia="zh-CN"/>
              </w:rPr>
            </w:pPr>
            <w:r>
              <w:rPr>
                <w:rFonts w:hint="eastAsia" w:ascii="仿宋" w:hAnsi="仿宋" w:eastAsia="仿宋" w:cs="仿宋"/>
                <w:bCs/>
                <w:sz w:val="21"/>
                <w:szCs w:val="21"/>
                <w:highlight w:val="none"/>
              </w:rPr>
              <w:t>取土（石）场数量（个）</w:t>
            </w:r>
          </w:p>
        </w:tc>
        <w:tc>
          <w:tcPr>
            <w:tcW w:w="77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77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w:t>
            </w:r>
          </w:p>
        </w:tc>
        <w:tc>
          <w:tcPr>
            <w:tcW w:w="99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2447" w:type="pct"/>
            <w:gridSpan w:val="5"/>
            <w:vAlign w:val="center"/>
          </w:tcPr>
          <w:p>
            <w:pPr>
              <w:widowControl w:val="0"/>
              <w:spacing w:line="240" w:lineRule="auto"/>
              <w:jc w:val="center"/>
              <w:rPr>
                <w:rFonts w:hint="eastAsia" w:ascii="仿宋" w:hAnsi="仿宋" w:eastAsia="仿宋" w:cs="仿宋"/>
                <w:bCs/>
                <w:kern w:val="2"/>
                <w:sz w:val="21"/>
                <w:szCs w:val="21"/>
                <w:highlight w:val="none"/>
                <w:lang w:val="en-US" w:eastAsia="zh-CN"/>
              </w:rPr>
            </w:pPr>
            <w:r>
              <w:rPr>
                <w:rFonts w:hint="eastAsia" w:ascii="仿宋" w:hAnsi="仿宋" w:eastAsia="仿宋" w:cs="仿宋"/>
                <w:bCs/>
                <w:sz w:val="21"/>
                <w:szCs w:val="21"/>
                <w:highlight w:val="none"/>
              </w:rPr>
              <w:t>弃土（渣）场数量（个）</w:t>
            </w:r>
          </w:p>
        </w:tc>
        <w:tc>
          <w:tcPr>
            <w:tcW w:w="77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77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99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169" w:type="pct"/>
            <w:gridSpan w:val="2"/>
            <w:vMerge w:val="restar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rPr>
              <w:t>取土（石）量（万</w:t>
            </w:r>
            <w:r>
              <w:rPr>
                <w:rFonts w:hint="eastAsia" w:ascii="仿宋" w:hAnsi="仿宋" w:eastAsia="仿宋" w:cs="仿宋"/>
                <w:bCs/>
                <w:sz w:val="21"/>
                <w:szCs w:val="21"/>
                <w:highlight w:val="none"/>
                <w:lang w:eastAsia="zh-CN"/>
              </w:rPr>
              <w:t>㎥</w:t>
            </w:r>
            <w:r>
              <w:rPr>
                <w:rFonts w:hint="eastAsia" w:ascii="仿宋" w:hAnsi="仿宋" w:eastAsia="仿宋" w:cs="仿宋"/>
                <w:bCs/>
                <w:sz w:val="21"/>
                <w:szCs w:val="21"/>
                <w:highlight w:val="none"/>
              </w:rPr>
              <w:t>）</w:t>
            </w:r>
          </w:p>
        </w:tc>
        <w:tc>
          <w:tcPr>
            <w:tcW w:w="1278" w:type="pct"/>
            <w:gridSpan w:val="3"/>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合计</w:t>
            </w:r>
          </w:p>
        </w:tc>
        <w:tc>
          <w:tcPr>
            <w:tcW w:w="77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77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99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69" w:type="pct"/>
            <w:gridSpan w:val="2"/>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1278" w:type="pct"/>
            <w:gridSpan w:val="3"/>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其他</w:t>
            </w:r>
          </w:p>
        </w:tc>
        <w:tc>
          <w:tcPr>
            <w:tcW w:w="77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77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99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69" w:type="pct"/>
            <w:gridSpan w:val="2"/>
            <w:vMerge w:val="restar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rPr>
              <w:t>弃土（渣）量（万</w:t>
            </w:r>
            <w:r>
              <w:rPr>
                <w:rFonts w:hint="eastAsia" w:ascii="仿宋" w:hAnsi="仿宋" w:eastAsia="仿宋" w:cs="仿宋"/>
                <w:bCs/>
                <w:sz w:val="21"/>
                <w:szCs w:val="21"/>
                <w:highlight w:val="none"/>
                <w:lang w:eastAsia="zh-CN"/>
              </w:rPr>
              <w:t>㎥</w:t>
            </w:r>
            <w:r>
              <w:rPr>
                <w:rFonts w:hint="eastAsia" w:ascii="仿宋" w:hAnsi="仿宋" w:eastAsia="仿宋" w:cs="仿宋"/>
                <w:bCs/>
                <w:sz w:val="21"/>
                <w:szCs w:val="21"/>
                <w:highlight w:val="none"/>
              </w:rPr>
              <w:t>）</w:t>
            </w:r>
          </w:p>
        </w:tc>
        <w:tc>
          <w:tcPr>
            <w:tcW w:w="1278" w:type="pct"/>
            <w:gridSpan w:val="3"/>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合计</w:t>
            </w:r>
          </w:p>
        </w:tc>
        <w:tc>
          <w:tcPr>
            <w:tcW w:w="77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77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99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69" w:type="pct"/>
            <w:gridSpan w:val="2"/>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1278" w:type="pct"/>
            <w:gridSpan w:val="3"/>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排土场</w:t>
            </w:r>
          </w:p>
        </w:tc>
        <w:tc>
          <w:tcPr>
            <w:tcW w:w="77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77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c>
          <w:tcPr>
            <w:tcW w:w="99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69" w:type="pct"/>
            <w:gridSpan w:val="2"/>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1278" w:type="pct"/>
            <w:gridSpan w:val="3"/>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拦渣率</w:t>
            </w:r>
          </w:p>
        </w:tc>
        <w:tc>
          <w:tcPr>
            <w:tcW w:w="77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95</w:t>
            </w:r>
          </w:p>
        </w:tc>
        <w:tc>
          <w:tcPr>
            <w:tcW w:w="77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95</w:t>
            </w:r>
          </w:p>
        </w:tc>
        <w:tc>
          <w:tcPr>
            <w:tcW w:w="99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restar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水土保持工程进度</w:t>
            </w:r>
          </w:p>
        </w:tc>
        <w:tc>
          <w:tcPr>
            <w:tcW w:w="613" w:type="pct"/>
            <w:vMerge w:val="restar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工程措施</w:t>
            </w:r>
          </w:p>
        </w:tc>
        <w:tc>
          <w:tcPr>
            <w:tcW w:w="889"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浆砌沉砂池</w:t>
            </w:r>
          </w:p>
        </w:tc>
        <w:tc>
          <w:tcPr>
            <w:tcW w:w="38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color w:val="auto"/>
                <w:sz w:val="21"/>
                <w:szCs w:val="21"/>
                <w:highlight w:val="none"/>
                <w:lang w:val="en-US" w:eastAsia="zh-CN"/>
              </w:rPr>
              <w:t>个</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613"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889"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浆砌排水沟</w:t>
            </w:r>
          </w:p>
        </w:tc>
        <w:tc>
          <w:tcPr>
            <w:tcW w:w="389" w:type="pct"/>
            <w:vAlign w:val="center"/>
          </w:tcPr>
          <w:p>
            <w:pPr>
              <w:widowControl w:val="0"/>
              <w:spacing w:line="240" w:lineRule="auto"/>
              <w:jc w:val="center"/>
              <w:rPr>
                <w:rFonts w:hint="eastAsia" w:ascii="仿宋" w:hAnsi="仿宋" w:eastAsia="仿宋" w:cs="仿宋"/>
                <w:bCs/>
                <w:kern w:val="0"/>
                <w:sz w:val="21"/>
                <w:szCs w:val="21"/>
                <w:highlight w:val="none"/>
                <w:lang w:val="en-US" w:eastAsia="zh-CN"/>
              </w:rPr>
            </w:pPr>
            <w:r>
              <w:rPr>
                <w:rFonts w:hint="eastAsia" w:ascii="仿宋" w:hAnsi="仿宋" w:eastAsia="仿宋" w:cs="仿宋"/>
                <w:bCs/>
                <w:kern w:val="0"/>
                <w:sz w:val="21"/>
                <w:szCs w:val="21"/>
                <w:highlight w:val="none"/>
                <w:lang w:val="en-US" w:eastAsia="zh-CN"/>
              </w:rPr>
              <w:t>m</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613"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889"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雨水检查井</w:t>
            </w:r>
          </w:p>
        </w:tc>
        <w:tc>
          <w:tcPr>
            <w:tcW w:w="389" w:type="pct"/>
            <w:vAlign w:val="center"/>
          </w:tcPr>
          <w:p>
            <w:pPr>
              <w:widowControl w:val="0"/>
              <w:spacing w:line="240" w:lineRule="auto"/>
              <w:jc w:val="center"/>
              <w:rPr>
                <w:rFonts w:hint="eastAsia" w:ascii="仿宋" w:hAnsi="仿宋" w:eastAsia="仿宋" w:cs="仿宋"/>
                <w:bCs/>
                <w:kern w:val="0"/>
                <w:sz w:val="21"/>
                <w:szCs w:val="21"/>
                <w:highlight w:val="none"/>
              </w:rPr>
            </w:pPr>
            <w:r>
              <w:rPr>
                <w:rFonts w:hint="eastAsia" w:ascii="仿宋" w:hAnsi="仿宋" w:eastAsia="仿宋" w:cs="仿宋"/>
                <w:color w:val="auto"/>
                <w:sz w:val="21"/>
                <w:szCs w:val="21"/>
                <w:highlight w:val="none"/>
                <w:lang w:val="en-US" w:eastAsia="zh-CN"/>
              </w:rPr>
              <w:t>个</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613"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889"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sz w:val="21"/>
                <w:szCs w:val="21"/>
                <w:highlight w:val="none"/>
              </w:rPr>
              <w:t>单蓖雨水口</w:t>
            </w:r>
          </w:p>
        </w:tc>
        <w:tc>
          <w:tcPr>
            <w:tcW w:w="389" w:type="pct"/>
            <w:vAlign w:val="center"/>
          </w:tcPr>
          <w:p>
            <w:pPr>
              <w:widowControl w:val="0"/>
              <w:spacing w:line="240" w:lineRule="auto"/>
              <w:jc w:val="center"/>
              <w:rPr>
                <w:rFonts w:hint="eastAsia" w:ascii="仿宋" w:hAnsi="仿宋" w:eastAsia="仿宋" w:cs="仿宋"/>
                <w:bCs/>
                <w:kern w:val="0"/>
                <w:sz w:val="21"/>
                <w:szCs w:val="21"/>
                <w:highlight w:val="none"/>
              </w:rPr>
            </w:pPr>
            <w:r>
              <w:rPr>
                <w:rFonts w:hint="eastAsia" w:ascii="仿宋" w:hAnsi="仿宋" w:eastAsia="仿宋" w:cs="仿宋"/>
                <w:color w:val="auto"/>
                <w:sz w:val="21"/>
                <w:szCs w:val="21"/>
                <w:highlight w:val="none"/>
                <w:lang w:val="en-US" w:eastAsia="zh-CN"/>
              </w:rPr>
              <w:t>个</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613"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889" w:type="pct"/>
            <w:gridSpan w:val="2"/>
            <w:vAlign w:val="center"/>
          </w:tcPr>
          <w:p>
            <w:pPr>
              <w:widowControl w:val="0"/>
              <w:spacing w:line="240" w:lineRule="auto"/>
              <w:ind w:left="0" w:leftChars="0" w:firstLine="0" w:firstLineChars="0"/>
              <w:jc w:val="both"/>
              <w:rPr>
                <w:rFonts w:hint="eastAsia" w:ascii="仿宋" w:hAnsi="仿宋" w:eastAsia="仿宋" w:cs="仿宋"/>
                <w:sz w:val="21"/>
                <w:szCs w:val="21"/>
                <w:highlight w:val="none"/>
              </w:rPr>
            </w:pPr>
            <w:r>
              <w:rPr>
                <w:rFonts w:hint="eastAsia" w:ascii="仿宋" w:hAnsi="仿宋" w:eastAsia="仿宋" w:cs="仿宋"/>
                <w:sz w:val="21"/>
                <w:szCs w:val="21"/>
                <w:highlight w:val="none"/>
              </w:rPr>
              <w:t>圆形下水道</w:t>
            </w:r>
          </w:p>
        </w:tc>
        <w:tc>
          <w:tcPr>
            <w:tcW w:w="389" w:type="pct"/>
            <w:vAlign w:val="center"/>
          </w:tcPr>
          <w:p>
            <w:pPr>
              <w:widowControl w:val="0"/>
              <w:spacing w:line="240" w:lineRule="auto"/>
              <w:jc w:val="center"/>
              <w:rPr>
                <w:rFonts w:hint="eastAsia" w:ascii="仿宋" w:hAnsi="仿宋" w:eastAsia="仿宋" w:cs="仿宋"/>
                <w:bCs/>
                <w:kern w:val="0"/>
                <w:sz w:val="21"/>
                <w:szCs w:val="21"/>
                <w:highlight w:val="none"/>
                <w:lang w:val="en-US" w:eastAsia="zh-CN"/>
              </w:rPr>
            </w:pPr>
            <w:r>
              <w:rPr>
                <w:rFonts w:hint="eastAsia" w:ascii="仿宋" w:hAnsi="仿宋" w:eastAsia="仿宋" w:cs="仿宋"/>
                <w:bCs/>
                <w:kern w:val="0"/>
                <w:sz w:val="21"/>
                <w:szCs w:val="21"/>
                <w:highlight w:val="none"/>
                <w:lang w:val="en-US" w:eastAsia="zh-CN"/>
              </w:rPr>
              <w:t>m</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613"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889" w:type="pct"/>
            <w:gridSpan w:val="2"/>
            <w:vAlign w:val="center"/>
          </w:tcPr>
          <w:p>
            <w:pPr>
              <w:widowControl w:val="0"/>
              <w:spacing w:line="240" w:lineRule="auto"/>
              <w:ind w:left="0" w:leftChars="0" w:firstLine="0" w:firstLineChars="0"/>
              <w:jc w:val="both"/>
              <w:rPr>
                <w:rFonts w:hint="eastAsia" w:ascii="仿宋" w:hAnsi="仿宋" w:eastAsia="仿宋" w:cs="仿宋"/>
                <w:sz w:val="21"/>
                <w:szCs w:val="21"/>
                <w:highlight w:val="none"/>
              </w:rPr>
            </w:pPr>
            <w:r>
              <w:rPr>
                <w:rFonts w:hint="eastAsia" w:ascii="仿宋" w:hAnsi="仿宋" w:eastAsia="仿宋" w:cs="仿宋"/>
                <w:sz w:val="21"/>
                <w:szCs w:val="21"/>
                <w:highlight w:val="none"/>
              </w:rPr>
              <w:t>浆砌石挡土墙</w:t>
            </w:r>
          </w:p>
        </w:tc>
        <w:tc>
          <w:tcPr>
            <w:tcW w:w="389" w:type="pct"/>
            <w:vAlign w:val="center"/>
          </w:tcPr>
          <w:p>
            <w:pPr>
              <w:widowControl w:val="0"/>
              <w:spacing w:line="240" w:lineRule="auto"/>
              <w:jc w:val="center"/>
              <w:rPr>
                <w:rFonts w:hint="eastAsia" w:ascii="仿宋" w:hAnsi="仿宋" w:eastAsia="仿宋" w:cs="仿宋"/>
                <w:bCs/>
                <w:kern w:val="0"/>
                <w:sz w:val="21"/>
                <w:szCs w:val="21"/>
                <w:highlight w:val="none"/>
                <w:lang w:val="en-US" w:eastAsia="zh-CN"/>
              </w:rPr>
            </w:pPr>
            <w:r>
              <w:rPr>
                <w:rFonts w:hint="eastAsia" w:ascii="仿宋" w:hAnsi="仿宋" w:eastAsia="仿宋" w:cs="仿宋"/>
                <w:bCs/>
                <w:kern w:val="0"/>
                <w:sz w:val="21"/>
                <w:szCs w:val="21"/>
                <w:highlight w:val="none"/>
                <w:lang w:val="en-US" w:eastAsia="zh-CN"/>
              </w:rPr>
              <w:t>m</w:t>
            </w:r>
          </w:p>
        </w:tc>
        <w:tc>
          <w:tcPr>
            <w:tcW w:w="779" w:type="pct"/>
            <w:vAlign w:val="center"/>
          </w:tcPr>
          <w:p>
            <w:pPr>
              <w:widowControl w:val="0"/>
              <w:spacing w:line="240" w:lineRule="auto"/>
              <w:ind w:left="0" w:leftChars="0" w:firstLine="0" w:firstLineChars="0"/>
              <w:jc w:val="both"/>
              <w:rPr>
                <w:rFonts w:hint="default"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w:t>
            </w:r>
          </w:p>
        </w:tc>
        <w:tc>
          <w:tcPr>
            <w:tcW w:w="776" w:type="pct"/>
            <w:vAlign w:val="center"/>
          </w:tcPr>
          <w:p>
            <w:pPr>
              <w:widowControl w:val="0"/>
              <w:spacing w:line="240" w:lineRule="auto"/>
              <w:ind w:left="0" w:leftChars="0" w:firstLine="0" w:firstLineChars="0"/>
              <w:jc w:val="both"/>
              <w:rPr>
                <w:rFonts w:hint="default"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w:t>
            </w:r>
          </w:p>
        </w:tc>
        <w:tc>
          <w:tcPr>
            <w:tcW w:w="996" w:type="pct"/>
            <w:vAlign w:val="center"/>
          </w:tcPr>
          <w:p>
            <w:pPr>
              <w:widowControl w:val="0"/>
              <w:spacing w:line="240" w:lineRule="auto"/>
              <w:ind w:left="0" w:leftChars="0" w:firstLine="0" w:firstLineChars="0"/>
              <w:jc w:val="both"/>
              <w:rPr>
                <w:rFonts w:hint="default"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613"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889"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color w:val="auto"/>
                <w:sz w:val="21"/>
                <w:szCs w:val="21"/>
                <w:highlight w:val="none"/>
                <w:lang w:val="en-US" w:eastAsia="zh-CN"/>
              </w:rPr>
              <w:t>表土剥离</w:t>
            </w:r>
          </w:p>
        </w:tc>
        <w:tc>
          <w:tcPr>
            <w:tcW w:w="38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color w:val="auto"/>
                <w:sz w:val="21"/>
                <w:szCs w:val="21"/>
                <w:highlight w:val="none"/>
                <w:lang w:val="en-US" w:eastAsia="zh-CN"/>
              </w:rPr>
              <w:t>㎥</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613"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889"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color w:val="auto"/>
                <w:sz w:val="21"/>
                <w:szCs w:val="21"/>
                <w:highlight w:val="none"/>
                <w:lang w:val="en-US" w:eastAsia="zh-CN"/>
              </w:rPr>
              <w:t>表土回填</w:t>
            </w:r>
          </w:p>
        </w:tc>
        <w:tc>
          <w:tcPr>
            <w:tcW w:w="38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color w:val="auto"/>
                <w:sz w:val="21"/>
                <w:szCs w:val="21"/>
                <w:highlight w:val="none"/>
                <w:lang w:val="en-US" w:eastAsia="zh-CN"/>
              </w:rPr>
              <w:t>㎥</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613"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889" w:type="pct"/>
            <w:gridSpan w:val="2"/>
            <w:vAlign w:val="center"/>
          </w:tcPr>
          <w:p>
            <w:pPr>
              <w:widowControl w:val="0"/>
              <w:spacing w:line="240" w:lineRule="auto"/>
              <w:ind w:left="0" w:leftChars="0" w:firstLine="0" w:firstLineChars="0"/>
              <w:jc w:val="both"/>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土地平整</w:t>
            </w:r>
          </w:p>
        </w:tc>
        <w:tc>
          <w:tcPr>
            <w:tcW w:w="38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h㎡</w:t>
            </w:r>
          </w:p>
        </w:tc>
        <w:tc>
          <w:tcPr>
            <w:tcW w:w="77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613" w:type="pct"/>
            <w:vMerge w:val="restar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临时措施</w:t>
            </w:r>
          </w:p>
        </w:tc>
        <w:tc>
          <w:tcPr>
            <w:tcW w:w="889"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临时排水沟</w:t>
            </w:r>
          </w:p>
        </w:tc>
        <w:tc>
          <w:tcPr>
            <w:tcW w:w="389" w:type="pct"/>
            <w:vAlign w:val="center"/>
          </w:tcPr>
          <w:p>
            <w:pPr>
              <w:widowControl w:val="0"/>
              <w:spacing w:line="240" w:lineRule="auto"/>
              <w:ind w:left="0" w:leftChars="0" w:firstLine="0" w:firstLineChars="0"/>
              <w:jc w:val="both"/>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m</w:t>
            </w:r>
          </w:p>
        </w:tc>
        <w:tc>
          <w:tcPr>
            <w:tcW w:w="779" w:type="pct"/>
            <w:vAlign w:val="center"/>
          </w:tcPr>
          <w:p>
            <w:pPr>
              <w:widowControl w:val="0"/>
              <w:spacing w:line="240" w:lineRule="auto"/>
              <w:ind w:left="0" w:leftChars="0" w:firstLine="0" w:firstLineChars="0"/>
              <w:jc w:val="both"/>
              <w:rPr>
                <w:rFonts w:hint="default"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2290</w:t>
            </w: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表土剥离</w:t>
            </w:r>
          </w:p>
        </w:tc>
        <w:tc>
          <w:tcPr>
            <w:tcW w:w="613"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889" w:type="pct"/>
            <w:gridSpan w:val="2"/>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临时沉砂池</w:t>
            </w:r>
          </w:p>
        </w:tc>
        <w:tc>
          <w:tcPr>
            <w:tcW w:w="389" w:type="pct"/>
            <w:vAlign w:val="center"/>
          </w:tcPr>
          <w:p>
            <w:pPr>
              <w:widowControl w:val="0"/>
              <w:spacing w:line="240" w:lineRule="auto"/>
              <w:ind w:left="0" w:leftChars="0" w:firstLine="0" w:firstLineChars="0"/>
              <w:jc w:val="both"/>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个</w:t>
            </w:r>
          </w:p>
        </w:tc>
        <w:tc>
          <w:tcPr>
            <w:tcW w:w="779" w:type="pct"/>
            <w:vAlign w:val="center"/>
          </w:tcPr>
          <w:p>
            <w:pPr>
              <w:widowControl w:val="0"/>
              <w:spacing w:line="240" w:lineRule="auto"/>
              <w:ind w:left="0" w:leftChars="0" w:firstLine="0" w:firstLineChars="0"/>
              <w:jc w:val="both"/>
              <w:rPr>
                <w:rFonts w:hint="default"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24</w:t>
            </w: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613" w:type="pct"/>
            <w:vMerge w:val="continue"/>
            <w:vAlign w:val="center"/>
          </w:tcPr>
          <w:p>
            <w:pPr>
              <w:widowControl w:val="0"/>
              <w:spacing w:line="240" w:lineRule="auto"/>
              <w:jc w:val="center"/>
              <w:rPr>
                <w:rFonts w:hint="eastAsia" w:ascii="仿宋" w:hAnsi="仿宋" w:eastAsia="仿宋" w:cs="仿宋"/>
                <w:bCs/>
                <w:sz w:val="21"/>
                <w:szCs w:val="21"/>
                <w:highlight w:val="none"/>
                <w:lang w:val="en-US" w:eastAsia="zh-CN"/>
              </w:rPr>
            </w:pPr>
          </w:p>
        </w:tc>
        <w:tc>
          <w:tcPr>
            <w:tcW w:w="889" w:type="pct"/>
            <w:gridSpan w:val="2"/>
            <w:vAlign w:val="center"/>
          </w:tcPr>
          <w:p>
            <w:pPr>
              <w:widowControl w:val="0"/>
              <w:spacing w:line="240" w:lineRule="auto"/>
              <w:jc w:val="center"/>
              <w:rPr>
                <w:rFonts w:hint="eastAsia" w:ascii="仿宋" w:hAnsi="仿宋" w:eastAsia="仿宋" w:cs="仿宋"/>
                <w:bCs/>
                <w:kern w:val="2"/>
                <w:sz w:val="21"/>
                <w:szCs w:val="21"/>
                <w:highlight w:val="none"/>
                <w:lang w:val="en-US" w:eastAsia="zh-CN" w:bidi="ar-SA"/>
              </w:rPr>
            </w:pPr>
            <w:r>
              <w:rPr>
                <w:rFonts w:hint="eastAsia" w:ascii="仿宋" w:hAnsi="仿宋" w:eastAsia="仿宋" w:cs="仿宋"/>
                <w:bCs/>
                <w:sz w:val="21"/>
                <w:szCs w:val="21"/>
                <w:highlight w:val="none"/>
                <w:lang w:val="en-US" w:eastAsia="zh-CN" w:bidi="ar-SA"/>
              </w:rPr>
              <w:t>临时拦挡</w:t>
            </w:r>
          </w:p>
        </w:tc>
        <w:tc>
          <w:tcPr>
            <w:tcW w:w="389" w:type="pct"/>
            <w:vAlign w:val="center"/>
          </w:tcPr>
          <w:p>
            <w:pPr>
              <w:widowControl w:val="0"/>
              <w:spacing w:line="240" w:lineRule="auto"/>
              <w:ind w:left="0" w:leftChars="0" w:firstLine="0" w:firstLineChars="0"/>
              <w:jc w:val="both"/>
              <w:rPr>
                <w:rFonts w:hint="eastAsia" w:ascii="仿宋" w:hAnsi="仿宋" w:eastAsia="仿宋" w:cs="仿宋"/>
                <w:bCs/>
                <w:kern w:val="2"/>
                <w:sz w:val="21"/>
                <w:szCs w:val="21"/>
                <w:highlight w:val="none"/>
                <w:lang w:val="en-US" w:eastAsia="zh-CN" w:bidi="ar-SA"/>
              </w:rPr>
            </w:pPr>
            <w:r>
              <w:rPr>
                <w:rFonts w:hint="eastAsia" w:ascii="仿宋" w:hAnsi="仿宋" w:eastAsia="仿宋" w:cs="仿宋"/>
                <w:color w:val="auto"/>
                <w:sz w:val="21"/>
                <w:szCs w:val="21"/>
                <w:highlight w:val="none"/>
                <w:lang w:val="en-US" w:eastAsia="zh-CN"/>
              </w:rPr>
              <w:t>m</w:t>
            </w:r>
          </w:p>
        </w:tc>
        <w:tc>
          <w:tcPr>
            <w:tcW w:w="779" w:type="pct"/>
            <w:vAlign w:val="center"/>
          </w:tcPr>
          <w:p>
            <w:pPr>
              <w:widowControl w:val="0"/>
              <w:spacing w:line="240" w:lineRule="auto"/>
              <w:ind w:left="0" w:leftChars="0" w:firstLine="0" w:firstLineChars="0"/>
              <w:jc w:val="both"/>
              <w:rPr>
                <w:rFonts w:hint="default"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1655</w:t>
            </w: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613"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889" w:type="pct"/>
            <w:gridSpan w:val="2"/>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临时覆盖</w:t>
            </w:r>
          </w:p>
        </w:tc>
        <w:tc>
          <w:tcPr>
            <w:tcW w:w="389"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r>
              <w:rPr>
                <w:rFonts w:hint="eastAsia" w:ascii="仿宋" w:hAnsi="仿宋" w:eastAsia="仿宋" w:cs="仿宋"/>
                <w:color w:val="auto"/>
                <w:sz w:val="21"/>
                <w:szCs w:val="21"/>
                <w:highlight w:val="none"/>
                <w:lang w:val="en-US" w:eastAsia="zh-CN"/>
              </w:rPr>
              <w:t>㎡</w:t>
            </w:r>
          </w:p>
        </w:tc>
        <w:tc>
          <w:tcPr>
            <w:tcW w:w="779" w:type="pct"/>
            <w:vAlign w:val="center"/>
          </w:tcPr>
          <w:p>
            <w:pPr>
              <w:widowControl w:val="0"/>
              <w:spacing w:line="240" w:lineRule="auto"/>
              <w:ind w:left="0" w:leftChars="0" w:firstLine="0" w:firstLineChars="0"/>
              <w:jc w:val="both"/>
              <w:rPr>
                <w:rFonts w:hint="default"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32316</w:t>
            </w:r>
          </w:p>
        </w:tc>
        <w:tc>
          <w:tcPr>
            <w:tcW w:w="77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restar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rPr>
            </w:pPr>
            <w:r>
              <w:rPr>
                <w:rFonts w:hint="eastAsia" w:ascii="仿宋" w:hAnsi="仿宋" w:eastAsia="仿宋" w:cs="仿宋"/>
                <w:bCs/>
                <w:kern w:val="0"/>
                <w:sz w:val="21"/>
                <w:szCs w:val="21"/>
                <w:highlight w:val="none"/>
              </w:rPr>
              <w:t>水土流失影响因子</w:t>
            </w:r>
          </w:p>
        </w:tc>
        <w:tc>
          <w:tcPr>
            <w:tcW w:w="1891" w:type="pct"/>
            <w:gridSpan w:val="4"/>
            <w:vAlign w:val="center"/>
          </w:tcPr>
          <w:p>
            <w:pPr>
              <w:widowControl w:val="0"/>
              <w:spacing w:line="240" w:lineRule="auto"/>
              <w:jc w:val="center"/>
              <w:rPr>
                <w:rFonts w:hint="eastAsia" w:ascii="仿宋" w:hAnsi="仿宋" w:eastAsia="仿宋" w:cs="仿宋"/>
                <w:bCs/>
                <w:kern w:val="0"/>
                <w:sz w:val="21"/>
                <w:szCs w:val="21"/>
                <w:highlight w:val="none"/>
                <w:lang w:val="en-US" w:eastAsia="zh-CN"/>
              </w:rPr>
            </w:pPr>
            <w:r>
              <w:rPr>
                <w:rFonts w:hint="eastAsia" w:ascii="仿宋" w:hAnsi="仿宋" w:eastAsia="仿宋" w:cs="仿宋"/>
                <w:bCs/>
                <w:kern w:val="0"/>
                <w:sz w:val="21"/>
                <w:szCs w:val="21"/>
                <w:highlight w:val="none"/>
              </w:rPr>
              <w:t>降雨量(mm)（按年度统计）</w:t>
            </w:r>
          </w:p>
        </w:tc>
        <w:tc>
          <w:tcPr>
            <w:tcW w:w="77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w:t>
            </w:r>
          </w:p>
        </w:tc>
        <w:tc>
          <w:tcPr>
            <w:tcW w:w="776" w:type="pct"/>
            <w:vAlign w:val="center"/>
          </w:tcPr>
          <w:p>
            <w:pPr>
              <w:widowControl w:val="0"/>
              <w:spacing w:line="240" w:lineRule="auto"/>
              <w:ind w:left="0" w:leftChars="0" w:firstLine="0" w:firstLineChars="0"/>
              <w:jc w:val="both"/>
              <w:rPr>
                <w:rFonts w:hint="default"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1329.8</w:t>
            </w:r>
          </w:p>
        </w:tc>
        <w:tc>
          <w:tcPr>
            <w:tcW w:w="996" w:type="pct"/>
            <w:vAlign w:val="center"/>
          </w:tcPr>
          <w:p>
            <w:pPr>
              <w:widowControl w:val="0"/>
              <w:spacing w:line="240" w:lineRule="auto"/>
              <w:ind w:left="0" w:leftChars="0" w:firstLine="0" w:firstLineChars="0"/>
              <w:jc w:val="both"/>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1891" w:type="pct"/>
            <w:gridSpan w:val="4"/>
            <w:vAlign w:val="center"/>
          </w:tcPr>
          <w:p>
            <w:pPr>
              <w:widowControl w:val="0"/>
              <w:spacing w:line="240" w:lineRule="auto"/>
              <w:jc w:val="center"/>
              <w:rPr>
                <w:rFonts w:hint="eastAsia" w:ascii="仿宋" w:hAnsi="仿宋" w:eastAsia="仿宋" w:cs="仿宋"/>
                <w:bCs/>
                <w:kern w:val="0"/>
                <w:sz w:val="21"/>
                <w:szCs w:val="21"/>
                <w:highlight w:val="none"/>
                <w:lang w:val="en-US" w:eastAsia="zh-CN"/>
              </w:rPr>
            </w:pPr>
            <w:r>
              <w:rPr>
                <w:rFonts w:hint="eastAsia" w:ascii="仿宋" w:hAnsi="仿宋" w:eastAsia="仿宋" w:cs="仿宋"/>
                <w:bCs/>
                <w:kern w:val="0"/>
                <w:sz w:val="21"/>
                <w:szCs w:val="21"/>
                <w:highlight w:val="none"/>
              </w:rPr>
              <w:t>最大24小时降雨(mm)</w:t>
            </w:r>
          </w:p>
        </w:tc>
        <w:tc>
          <w:tcPr>
            <w:tcW w:w="77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p>
        </w:tc>
        <w:tc>
          <w:tcPr>
            <w:tcW w:w="776" w:type="pct"/>
            <w:vAlign w:val="center"/>
          </w:tcPr>
          <w:p>
            <w:pPr>
              <w:widowControl w:val="0"/>
              <w:spacing w:line="240" w:lineRule="auto"/>
              <w:ind w:left="0" w:leftChars="0" w:firstLine="0" w:firstLineChars="0"/>
              <w:jc w:val="both"/>
              <w:rPr>
                <w:rFonts w:hint="default"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217.4</w:t>
            </w:r>
          </w:p>
        </w:tc>
        <w:tc>
          <w:tcPr>
            <w:tcW w:w="99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56" w:type="pct"/>
            <w:vMerge w:val="continue"/>
            <w:vAlign w:val="center"/>
          </w:tcPr>
          <w:p>
            <w:pPr>
              <w:widowControl w:val="0"/>
              <w:spacing w:line="240" w:lineRule="auto"/>
              <w:jc w:val="center"/>
              <w:rPr>
                <w:rFonts w:hint="eastAsia" w:ascii="仿宋" w:hAnsi="仿宋" w:eastAsia="仿宋" w:cs="仿宋"/>
                <w:bCs/>
                <w:sz w:val="21"/>
                <w:szCs w:val="21"/>
                <w:highlight w:val="none"/>
              </w:rPr>
            </w:pPr>
          </w:p>
        </w:tc>
        <w:tc>
          <w:tcPr>
            <w:tcW w:w="1891" w:type="pct"/>
            <w:gridSpan w:val="4"/>
            <w:vAlign w:val="center"/>
          </w:tcPr>
          <w:p>
            <w:pPr>
              <w:widowControl w:val="0"/>
              <w:spacing w:line="240" w:lineRule="auto"/>
              <w:jc w:val="center"/>
              <w:rPr>
                <w:rFonts w:hint="eastAsia" w:ascii="仿宋" w:hAnsi="仿宋" w:eastAsia="仿宋" w:cs="仿宋"/>
                <w:bCs/>
                <w:kern w:val="0"/>
                <w:sz w:val="21"/>
                <w:szCs w:val="21"/>
                <w:highlight w:val="none"/>
                <w:lang w:val="en-US" w:eastAsia="zh-CN"/>
              </w:rPr>
            </w:pPr>
            <w:r>
              <w:rPr>
                <w:rFonts w:hint="eastAsia" w:ascii="仿宋" w:hAnsi="仿宋" w:eastAsia="仿宋" w:cs="仿宋"/>
                <w:bCs/>
                <w:kern w:val="0"/>
                <w:sz w:val="21"/>
                <w:szCs w:val="21"/>
                <w:highlight w:val="none"/>
                <w:lang w:bidi="en-US"/>
              </w:rPr>
              <w:t>最大风速(m/s)</w:t>
            </w:r>
          </w:p>
        </w:tc>
        <w:tc>
          <w:tcPr>
            <w:tcW w:w="779"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p>
        </w:tc>
        <w:tc>
          <w:tcPr>
            <w:tcW w:w="77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2.7</w:t>
            </w:r>
          </w:p>
        </w:tc>
        <w:tc>
          <w:tcPr>
            <w:tcW w:w="996" w:type="pct"/>
            <w:vAlign w:val="center"/>
          </w:tcPr>
          <w:p>
            <w:pPr>
              <w:widowControl w:val="0"/>
              <w:spacing w:line="240" w:lineRule="auto"/>
              <w:jc w:val="center"/>
              <w:rPr>
                <w:rFonts w:hint="eastAsia" w:ascii="仿宋" w:hAnsi="仿宋" w:eastAsia="仿宋" w:cs="仿宋"/>
                <w:bCs/>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447" w:type="pct"/>
            <w:gridSpan w:val="5"/>
            <w:vAlign w:val="center"/>
          </w:tcPr>
          <w:p>
            <w:pPr>
              <w:widowControl w:val="0"/>
              <w:spacing w:line="240" w:lineRule="auto"/>
              <w:jc w:val="center"/>
              <w:rPr>
                <w:rFonts w:hint="eastAsia" w:ascii="仿宋" w:hAnsi="仿宋" w:eastAsia="仿宋" w:cs="仿宋"/>
                <w:bCs/>
                <w:kern w:val="0"/>
                <w:sz w:val="21"/>
                <w:szCs w:val="21"/>
                <w:highlight w:val="none"/>
                <w:lang w:val="en-US" w:eastAsia="zh-CN"/>
              </w:rPr>
            </w:pPr>
            <w:r>
              <w:rPr>
                <w:rFonts w:hint="eastAsia" w:ascii="仿宋" w:hAnsi="仿宋" w:eastAsia="仿宋" w:cs="仿宋"/>
                <w:bCs/>
                <w:kern w:val="0"/>
                <w:sz w:val="21"/>
                <w:szCs w:val="21"/>
                <w:highlight w:val="none"/>
              </w:rPr>
              <w:t>水土流失量（</w:t>
            </w:r>
            <w:r>
              <w:rPr>
                <w:rFonts w:hint="eastAsia" w:ascii="仿宋" w:hAnsi="仿宋" w:eastAsia="仿宋" w:cs="仿宋"/>
                <w:bCs/>
                <w:kern w:val="0"/>
                <w:sz w:val="21"/>
                <w:szCs w:val="21"/>
                <w:highlight w:val="none"/>
                <w:lang w:val="en-US" w:eastAsia="zh-CN"/>
              </w:rPr>
              <w:t>t</w:t>
            </w:r>
            <w:r>
              <w:rPr>
                <w:rFonts w:hint="eastAsia" w:ascii="仿宋" w:hAnsi="仿宋" w:eastAsia="仿宋" w:cs="仿宋"/>
                <w:bCs/>
                <w:kern w:val="0"/>
                <w:sz w:val="21"/>
                <w:szCs w:val="21"/>
                <w:highlight w:val="none"/>
              </w:rPr>
              <w:t>）</w:t>
            </w:r>
          </w:p>
        </w:tc>
        <w:tc>
          <w:tcPr>
            <w:tcW w:w="2552" w:type="pct"/>
            <w:gridSpan w:val="3"/>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color w:val="0000FF"/>
                <w:sz w:val="21"/>
                <w:szCs w:val="21"/>
                <w:highlight w:val="none"/>
                <w:lang w:val="en-US" w:eastAsia="zh-CN" w:bidi="ar-SA"/>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447" w:type="pct"/>
            <w:gridSpan w:val="5"/>
            <w:vAlign w:val="center"/>
          </w:tcPr>
          <w:p>
            <w:pPr>
              <w:widowControl w:val="0"/>
              <w:spacing w:line="240" w:lineRule="auto"/>
              <w:jc w:val="center"/>
              <w:rPr>
                <w:rFonts w:hint="eastAsia" w:ascii="仿宋" w:hAnsi="仿宋" w:eastAsia="仿宋" w:cs="仿宋"/>
                <w:bCs/>
                <w:kern w:val="0"/>
                <w:sz w:val="21"/>
                <w:szCs w:val="21"/>
                <w:highlight w:val="none"/>
                <w:lang w:val="en-US" w:eastAsia="zh-CN"/>
              </w:rPr>
            </w:pPr>
            <w:r>
              <w:rPr>
                <w:rFonts w:hint="eastAsia" w:ascii="仿宋" w:hAnsi="仿宋" w:eastAsia="仿宋" w:cs="仿宋"/>
                <w:bCs/>
                <w:kern w:val="0"/>
                <w:sz w:val="21"/>
                <w:szCs w:val="21"/>
                <w:highlight w:val="none"/>
              </w:rPr>
              <w:t>水土流失灾害事件</w:t>
            </w:r>
          </w:p>
        </w:tc>
        <w:tc>
          <w:tcPr>
            <w:tcW w:w="2552" w:type="pct"/>
            <w:gridSpan w:val="3"/>
            <w:vAlign w:val="center"/>
          </w:tcPr>
          <w:p>
            <w:pPr>
              <w:widowControl w:val="0"/>
              <w:spacing w:line="240" w:lineRule="auto"/>
              <w:jc w:val="center"/>
              <w:rPr>
                <w:rFonts w:hint="eastAsia" w:ascii="仿宋" w:hAnsi="仿宋" w:eastAsia="仿宋" w:cs="仿宋"/>
                <w:bCs/>
                <w:sz w:val="21"/>
                <w:szCs w:val="21"/>
                <w:highlight w:val="none"/>
                <w:lang w:val="en-US" w:eastAsia="zh-CN" w:bidi="ar-SA"/>
              </w:rPr>
            </w:pPr>
            <w:r>
              <w:rPr>
                <w:rFonts w:hint="eastAsia" w:ascii="仿宋" w:hAnsi="仿宋" w:eastAsia="仿宋" w:cs="仿宋"/>
                <w:bCs/>
                <w:sz w:val="21"/>
                <w:szCs w:val="21"/>
                <w:highlight w:val="none"/>
                <w:lang w:val="en-US" w:eastAsia="zh-CN" w:bidi="ar-S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169" w:type="pct"/>
            <w:gridSpan w:val="2"/>
            <w:vAlign w:val="center"/>
          </w:tcPr>
          <w:p>
            <w:pPr>
              <w:widowControl w:val="0"/>
              <w:spacing w:line="240" w:lineRule="auto"/>
              <w:jc w:val="center"/>
              <w:rPr>
                <w:rFonts w:hint="eastAsia" w:ascii="仿宋" w:hAnsi="仿宋" w:eastAsia="仿宋" w:cs="仿宋"/>
                <w:bCs/>
                <w:sz w:val="21"/>
                <w:szCs w:val="21"/>
                <w:highlight w:val="none"/>
              </w:rPr>
            </w:pPr>
            <w:r>
              <w:rPr>
                <w:rFonts w:hint="eastAsia" w:ascii="仿宋" w:hAnsi="仿宋" w:eastAsia="仿宋" w:cs="仿宋"/>
                <w:bCs/>
                <w:kern w:val="0"/>
                <w:sz w:val="21"/>
                <w:szCs w:val="21"/>
                <w:highlight w:val="none"/>
              </w:rPr>
              <w:t>存在问题与建议</w:t>
            </w:r>
          </w:p>
        </w:tc>
        <w:tc>
          <w:tcPr>
            <w:tcW w:w="3830" w:type="pct"/>
            <w:gridSpan w:val="6"/>
            <w:vAlign w:val="center"/>
          </w:tcPr>
          <w:p>
            <w:pPr>
              <w:widowControl w:val="0"/>
              <w:spacing w:line="240" w:lineRule="auto"/>
              <w:jc w:val="left"/>
              <w:rPr>
                <w:rFonts w:hint="eastAsia" w:ascii="仿宋" w:hAnsi="仿宋" w:eastAsia="仿宋" w:cs="仿宋"/>
                <w:bCs/>
                <w:sz w:val="21"/>
                <w:szCs w:val="21"/>
                <w:highlight w:val="none"/>
                <w:lang w:val="en-US" w:eastAsia="zh-CN" w:bidi="ar-SA"/>
              </w:rPr>
            </w:pPr>
            <w:r>
              <w:rPr>
                <w:rFonts w:hint="eastAsia" w:ascii="仿宋" w:hAnsi="仿宋" w:eastAsia="仿宋" w:cs="仿宋"/>
                <w:bCs/>
                <w:color w:val="auto"/>
                <w:sz w:val="21"/>
                <w:szCs w:val="21"/>
                <w:highlight w:val="none"/>
                <w:lang w:val="en-US" w:eastAsia="zh-CN" w:bidi="ar-SA"/>
              </w:rPr>
              <w:t>现场的主体工程已基本完成，工程措施及临时措施已基本完成，植物措施按照相关设计要求落实到位。但排水沟部分以损坏，需修缮；临时覆盖需重新进行补充覆盖，否则产生较大的裸露区域；排水沟要保证其排水性能。</w:t>
            </w:r>
          </w:p>
        </w:tc>
      </w:tr>
    </w:tbl>
    <w:p>
      <w:pPr>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lang w:eastAsia="zh-CN"/>
        </w:rPr>
        <w:br w:type="page"/>
      </w:r>
    </w:p>
    <w:p>
      <w:pPr>
        <w:pStyle w:val="3"/>
        <w:bidi w:val="0"/>
        <w:ind w:left="0" w:leftChars="0" w:firstLine="0" w:firstLineChars="0"/>
        <w:jc w:val="center"/>
        <w:rPr>
          <w:rFonts w:hint="default"/>
          <w:lang w:val="en-US" w:eastAsia="zh-CN"/>
        </w:rPr>
      </w:pPr>
      <w:bookmarkStart w:id="45" w:name="_Toc29952"/>
      <w:r>
        <w:rPr>
          <w:rFonts w:hint="default"/>
          <w:lang w:val="en-US" w:eastAsia="zh-CN"/>
        </w:rPr>
        <w:t>2、监测期工程建设情况</w:t>
      </w:r>
      <w:bookmarkEnd w:id="45"/>
    </w:p>
    <w:p>
      <w:pPr>
        <w:pStyle w:val="4"/>
        <w:bidi w:val="0"/>
        <w:rPr>
          <w:rFonts w:hint="default"/>
          <w:lang w:val="en-US" w:eastAsia="zh-CN"/>
        </w:rPr>
      </w:pPr>
      <w:bookmarkStart w:id="46" w:name="_Toc7989"/>
      <w:r>
        <w:rPr>
          <w:rFonts w:hint="default"/>
          <w:lang w:val="en-US" w:eastAsia="zh-CN"/>
        </w:rPr>
        <w:t>2.1主体工程建设基本情况</w:t>
      </w:r>
      <w:bookmarkEnd w:id="46"/>
    </w:p>
    <w:p>
      <w:pPr>
        <w:pStyle w:val="5"/>
        <w:bidi w:val="0"/>
        <w:rPr>
          <w:rFonts w:hint="default"/>
          <w:lang w:val="en-US" w:eastAsia="zh-CN"/>
        </w:rPr>
      </w:pPr>
      <w:r>
        <w:rPr>
          <w:rFonts w:hint="default"/>
          <w:lang w:val="en-US" w:eastAsia="zh-CN"/>
        </w:rPr>
        <w:t>2.1.1工程概况</w:t>
      </w:r>
    </w:p>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480" w:lineRule="auto"/>
        <w:ind w:firstLine="482" w:firstLineChars="200"/>
        <w:jc w:val="both"/>
        <w:textAlignment w:val="auto"/>
        <w:outlineLvl w:val="9"/>
        <w:rPr>
          <w:rFonts w:hint="default" w:ascii="Times New Roman" w:hAnsi="Times New Roman" w:cs="Times New Roman"/>
          <w:color w:val="auto"/>
          <w:sz w:val="24"/>
          <w:lang w:val="en-US" w:eastAsia="zh-CN"/>
        </w:rPr>
      </w:pPr>
      <w:r>
        <w:rPr>
          <w:rFonts w:hint="default" w:ascii="Times New Roman" w:hAnsi="Times New Roman" w:cs="Times New Roman"/>
          <w:b/>
          <w:bCs/>
          <w:color w:val="auto"/>
          <w:sz w:val="24"/>
          <w:lang w:val="en-US" w:eastAsia="zh-CN"/>
        </w:rPr>
        <w:t>工程名称：</w:t>
      </w:r>
      <w:r>
        <w:rPr>
          <w:rFonts w:hint="eastAsia" w:ascii="Times New Roman" w:hAnsi="Times New Roman" w:cs="Times New Roman"/>
          <w:color w:val="auto"/>
          <w:sz w:val="24"/>
          <w:lang w:val="en-US" w:eastAsia="zh-CN"/>
        </w:rPr>
        <w:t>衡阳市廻雁峰公园地下停车场建设工程项目；</w:t>
      </w:r>
    </w:p>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480" w:lineRule="auto"/>
        <w:ind w:firstLine="482" w:firstLineChars="200"/>
        <w:jc w:val="both"/>
        <w:textAlignment w:val="auto"/>
        <w:outlineLvl w:val="9"/>
        <w:rPr>
          <w:rFonts w:hint="default" w:ascii="Times New Roman" w:hAnsi="Times New Roman" w:cs="Times New Roman"/>
          <w:color w:val="auto"/>
          <w:sz w:val="24"/>
          <w:lang w:val="en-US" w:eastAsia="zh-CN"/>
        </w:rPr>
      </w:pPr>
      <w:r>
        <w:rPr>
          <w:rFonts w:hint="default" w:ascii="Times New Roman" w:hAnsi="Times New Roman" w:cs="Times New Roman"/>
          <w:b/>
          <w:bCs/>
          <w:color w:val="auto"/>
          <w:sz w:val="24"/>
          <w:lang w:val="en-US" w:eastAsia="zh-CN"/>
        </w:rPr>
        <w:t>建设单位：</w:t>
      </w:r>
      <w:r>
        <w:rPr>
          <w:rFonts w:hint="eastAsia" w:ascii="Times New Roman" w:hAnsi="Times New Roman" w:cs="Times New Roman"/>
          <w:b/>
          <w:bCs/>
          <w:color w:val="auto"/>
          <w:sz w:val="24"/>
          <w:lang w:val="en-US" w:eastAsia="zh-CN"/>
        </w:rPr>
        <w:t xml:space="preserve"> </w:t>
      </w:r>
      <w:r>
        <w:rPr>
          <w:rFonts w:hint="default" w:ascii="Times New Roman" w:hAnsi="Times New Roman" w:cs="Times New Roman"/>
          <w:color w:val="auto"/>
          <w:sz w:val="24"/>
          <w:lang w:val="en-US" w:eastAsia="zh-CN"/>
        </w:rPr>
        <w:t>衡阳市城市建设投资有限公司</w:t>
      </w:r>
      <w:r>
        <w:rPr>
          <w:rFonts w:hint="eastAsia" w:ascii="Times New Roman" w:hAnsi="Times New Roman" w:cs="Times New Roman"/>
          <w:color w:val="auto"/>
          <w:sz w:val="24"/>
          <w:lang w:val="en-US" w:eastAsia="zh-CN"/>
        </w:rPr>
        <w:t>；</w:t>
      </w:r>
    </w:p>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480" w:lineRule="auto"/>
        <w:ind w:firstLine="482" w:firstLineChars="200"/>
        <w:jc w:val="both"/>
        <w:textAlignment w:val="auto"/>
        <w:outlineLvl w:val="9"/>
        <w:rPr>
          <w:rFonts w:hint="default" w:ascii="Times New Roman" w:hAnsi="Times New Roman" w:cs="Times New Roman"/>
          <w:color w:val="auto"/>
          <w:sz w:val="24"/>
          <w:lang w:eastAsia="zh-CN"/>
        </w:rPr>
      </w:pPr>
      <w:r>
        <w:rPr>
          <w:rFonts w:hint="default" w:ascii="Times New Roman" w:hAnsi="Times New Roman" w:cs="Times New Roman"/>
          <w:b/>
          <w:bCs/>
          <w:color w:val="auto"/>
          <w:sz w:val="24"/>
          <w:lang w:val="en-US" w:eastAsia="zh-CN"/>
        </w:rPr>
        <w:t>建设地点：</w:t>
      </w:r>
      <w:r>
        <w:rPr>
          <w:rFonts w:hint="default" w:ascii="Times New Roman" w:hAnsi="Times New Roman" w:eastAsia="宋体" w:cs="Times New Roman"/>
          <w:color w:val="auto"/>
          <w:sz w:val="24"/>
          <w:lang w:val="en-US" w:eastAsia="zh-CN"/>
        </w:rPr>
        <w:t>湖南省衡阳市</w:t>
      </w:r>
      <w:r>
        <w:rPr>
          <w:rFonts w:hint="eastAsia" w:ascii="Times New Roman" w:hAnsi="Times New Roman" w:cs="Times New Roman"/>
          <w:color w:val="auto"/>
          <w:sz w:val="24"/>
          <w:lang w:val="en-US" w:eastAsia="zh-CN"/>
        </w:rPr>
        <w:t>雁峰区湘江西岸廻雁峰公园内；</w:t>
      </w:r>
    </w:p>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480" w:lineRule="auto"/>
        <w:ind w:firstLine="482" w:firstLineChars="200"/>
        <w:jc w:val="both"/>
        <w:textAlignment w:val="auto"/>
        <w:outlineLvl w:val="9"/>
        <w:rPr>
          <w:rFonts w:hint="default" w:ascii="Times New Roman" w:hAnsi="Times New Roman" w:cs="Times New Roman"/>
          <w:color w:val="auto"/>
          <w:sz w:val="24"/>
          <w:lang w:val="en-US" w:eastAsia="zh-CN"/>
        </w:rPr>
      </w:pPr>
      <w:r>
        <w:rPr>
          <w:rFonts w:hint="default" w:ascii="Times New Roman" w:hAnsi="Times New Roman" w:cs="Times New Roman"/>
          <w:b/>
          <w:bCs/>
          <w:color w:val="auto"/>
          <w:sz w:val="24"/>
          <w:lang w:val="en-US" w:eastAsia="zh-CN"/>
        </w:rPr>
        <w:t>建设性质：</w:t>
      </w:r>
      <w:r>
        <w:rPr>
          <w:rFonts w:hint="default" w:ascii="Times New Roman" w:hAnsi="Times New Roman" w:cs="Times New Roman"/>
          <w:color w:val="auto"/>
          <w:sz w:val="24"/>
          <w:lang w:val="en-US" w:eastAsia="zh-CN"/>
        </w:rPr>
        <w:t>新</w:t>
      </w:r>
      <w:r>
        <w:rPr>
          <w:rFonts w:hint="eastAsia" w:ascii="Times New Roman" w:hAnsi="Times New Roman" w:cs="Times New Roman"/>
          <w:color w:val="auto"/>
          <w:sz w:val="24"/>
          <w:lang w:val="en-US" w:eastAsia="zh-CN"/>
        </w:rPr>
        <w:t xml:space="preserve">  </w:t>
      </w:r>
      <w:r>
        <w:rPr>
          <w:rFonts w:hint="default" w:ascii="Times New Roman" w:hAnsi="Times New Roman" w:cs="Times New Roman"/>
          <w:color w:val="auto"/>
          <w:sz w:val="24"/>
          <w:lang w:val="en-US" w:eastAsia="zh-CN"/>
        </w:rPr>
        <w:t>建</w:t>
      </w:r>
      <w:r>
        <w:rPr>
          <w:rFonts w:hint="eastAsia" w:ascii="Times New Roman" w:hAnsi="Times New Roman" w:cs="Times New Roman"/>
          <w:color w:val="auto"/>
          <w:sz w:val="24"/>
          <w:lang w:val="en-US" w:eastAsia="zh-CN"/>
        </w:rPr>
        <w:t>；</w:t>
      </w:r>
    </w:p>
    <w:p>
      <w:pPr>
        <w:bidi w:val="0"/>
        <w:ind w:firstLine="883"/>
        <w:rPr>
          <w:rFonts w:hint="eastAsia" w:ascii="Times New Roman" w:hAnsi="Times New Roman"/>
          <w:lang w:val="en-US" w:eastAsia="zh-CN"/>
        </w:rPr>
      </w:pPr>
      <w:r>
        <w:rPr>
          <w:rFonts w:hint="default" w:ascii="Times New Roman" w:hAnsi="Times New Roman" w:eastAsia="仿宋_GB2312" w:cs="Times New Roman"/>
          <w:b/>
          <w:bCs/>
          <w:color w:val="auto"/>
          <w:kern w:val="2"/>
          <w:sz w:val="24"/>
          <w:szCs w:val="24"/>
          <w:lang w:val="en-US" w:eastAsia="zh-CN"/>
        </w:rPr>
        <w:t>经济指标：</w:t>
      </w:r>
      <w:r>
        <w:rPr>
          <w:rFonts w:hint="eastAsia" w:ascii="Times New Roman" w:hAnsi="Times New Roman"/>
          <w:lang w:val="en-US" w:eastAsia="zh-CN"/>
        </w:rPr>
        <w:t>项目计划占地面积48427.08m²，总建筑面积86120.75m²，共设置2652个停车位，项目分为A、B、C三个区域，A区和C区为两层，单层层高为4.5m，其中A区：占地114534.80m²，设置1405个停车位；C区：占地23158.87m²，设置739个停车位；B区：占地10733.41m²，设置508个停车位，负一层为地下人防工程，人防面积5152.46m²。</w:t>
      </w:r>
    </w:p>
    <w:p>
      <w:pPr>
        <w:bidi w:val="0"/>
        <w:rPr>
          <w:rFonts w:hint="eastAsia"/>
          <w:lang w:val="zh-CN" w:eastAsia="zh-CN"/>
        </w:rPr>
      </w:pPr>
      <w:r>
        <w:rPr>
          <w:rFonts w:hint="eastAsia"/>
          <w:lang w:val="en-US" w:eastAsia="zh-CN"/>
        </w:rPr>
        <w:t>衡阳市廻雁峰公园地下停车场项目位于规划衡阳市廻雁峰•巷荫岭棚户区改造项目的地下，该项目地上为规划衡阳市廻雁峰•巷荫岭棚户区改造项目。规划衡阳市廻雁峰•巷荫岭棚户区改造项目占地14.27h㎡ ，其中包括衡阳市廻雁峰公园地下停车场项目的地下部。</w:t>
      </w:r>
    </w:p>
    <w:p>
      <w:pPr>
        <w:tabs>
          <w:tab w:val="left" w:pos="525"/>
        </w:tabs>
        <w:spacing w:line="288" w:lineRule="auto"/>
        <w:ind w:firstLine="480"/>
        <w:jc w:val="center"/>
        <w:rPr>
          <w:rFonts w:hint="default" w:ascii="Times New Roman" w:hAnsi="Times New Roman" w:cs="Times New Roman"/>
          <w:b/>
          <w:color w:val="auto"/>
        </w:rPr>
      </w:pPr>
      <w:r>
        <w:rPr>
          <w:rFonts w:hint="default" w:ascii="Times New Roman" w:hAnsi="Times New Roman" w:cs="Times New Roman"/>
          <w:color w:val="auto"/>
        </w:rPr>
        <w:t>表</w:t>
      </w:r>
      <w:r>
        <w:rPr>
          <w:rFonts w:hint="default" w:ascii="Times New Roman" w:hAnsi="Times New Roman" w:cs="Times New Roman"/>
          <w:color w:val="auto"/>
          <w:lang w:val="en-US" w:eastAsia="zh-CN"/>
        </w:rPr>
        <w:t>2</w:t>
      </w:r>
      <w:r>
        <w:rPr>
          <w:rFonts w:hint="default" w:ascii="Times New Roman" w:hAnsi="Times New Roman" w:cs="Times New Roman"/>
          <w:color w:val="auto"/>
        </w:rPr>
        <w:t>.1-1　　　　　　</w:t>
      </w:r>
      <w:r>
        <w:rPr>
          <w:rFonts w:hint="default" w:ascii="Times New Roman" w:hAnsi="Times New Roman" w:cs="Times New Roman"/>
          <w:b/>
          <w:color w:val="auto"/>
        </w:rPr>
        <w:t>技术经济指标</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1919"/>
        <w:gridCol w:w="3374"/>
        <w:gridCol w:w="1432"/>
        <w:gridCol w:w="1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编号</w:t>
            </w:r>
          </w:p>
        </w:tc>
        <w:tc>
          <w:tcPr>
            <w:tcW w:w="2858"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项目</w:t>
            </w:r>
          </w:p>
        </w:tc>
        <w:tc>
          <w:tcPr>
            <w:tcW w:w="77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单位</w:t>
            </w:r>
          </w:p>
        </w:tc>
        <w:tc>
          <w:tcPr>
            <w:tcW w:w="97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w:t>
            </w:r>
          </w:p>
        </w:tc>
        <w:tc>
          <w:tcPr>
            <w:tcW w:w="2858"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总规划用地</w:t>
            </w:r>
          </w:p>
        </w:tc>
        <w:tc>
          <w:tcPr>
            <w:tcW w:w="77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w:t>
            </w:r>
          </w:p>
        </w:tc>
        <w:tc>
          <w:tcPr>
            <w:tcW w:w="97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84900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7" w:type="pct"/>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2</w:t>
            </w:r>
          </w:p>
        </w:tc>
        <w:tc>
          <w:tcPr>
            <w:tcW w:w="2858"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总建筑面积</w:t>
            </w:r>
          </w:p>
        </w:tc>
        <w:tc>
          <w:tcPr>
            <w:tcW w:w="77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w:t>
            </w:r>
          </w:p>
        </w:tc>
        <w:tc>
          <w:tcPr>
            <w:tcW w:w="97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48427.08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397"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p>
        </w:tc>
        <w:tc>
          <w:tcPr>
            <w:tcW w:w="1036"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A区</w:t>
            </w:r>
          </w:p>
        </w:tc>
        <w:tc>
          <w:tcPr>
            <w:tcW w:w="182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占地面积</w:t>
            </w:r>
          </w:p>
        </w:tc>
        <w:tc>
          <w:tcPr>
            <w:tcW w:w="77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w:t>
            </w:r>
          </w:p>
        </w:tc>
        <w:tc>
          <w:tcPr>
            <w:tcW w:w="97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14534.80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397"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rPr>
            </w:pPr>
          </w:p>
        </w:tc>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p>
        </w:tc>
        <w:tc>
          <w:tcPr>
            <w:tcW w:w="182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停车位</w:t>
            </w:r>
          </w:p>
        </w:tc>
        <w:tc>
          <w:tcPr>
            <w:tcW w:w="77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个</w:t>
            </w:r>
          </w:p>
        </w:tc>
        <w:tc>
          <w:tcPr>
            <w:tcW w:w="97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397"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p>
        </w:tc>
        <w:tc>
          <w:tcPr>
            <w:tcW w:w="1036"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B区</w:t>
            </w:r>
          </w:p>
        </w:tc>
        <w:tc>
          <w:tcPr>
            <w:tcW w:w="182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占地面积</w:t>
            </w:r>
          </w:p>
        </w:tc>
        <w:tc>
          <w:tcPr>
            <w:tcW w:w="77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w:t>
            </w:r>
          </w:p>
        </w:tc>
        <w:tc>
          <w:tcPr>
            <w:tcW w:w="97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10733.41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397"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rPr>
            </w:pPr>
          </w:p>
        </w:tc>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p>
        </w:tc>
        <w:tc>
          <w:tcPr>
            <w:tcW w:w="182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停车位</w:t>
            </w:r>
          </w:p>
        </w:tc>
        <w:tc>
          <w:tcPr>
            <w:tcW w:w="77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个</w:t>
            </w:r>
          </w:p>
        </w:tc>
        <w:tc>
          <w:tcPr>
            <w:tcW w:w="97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397"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rPr>
            </w:pPr>
          </w:p>
        </w:tc>
        <w:tc>
          <w:tcPr>
            <w:tcW w:w="1036"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C区</w:t>
            </w:r>
          </w:p>
        </w:tc>
        <w:tc>
          <w:tcPr>
            <w:tcW w:w="182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占地面积</w:t>
            </w:r>
          </w:p>
        </w:tc>
        <w:tc>
          <w:tcPr>
            <w:tcW w:w="77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w:t>
            </w:r>
          </w:p>
        </w:tc>
        <w:tc>
          <w:tcPr>
            <w:tcW w:w="97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23158.87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397"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rPr>
            </w:pPr>
          </w:p>
        </w:tc>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p>
        </w:tc>
        <w:tc>
          <w:tcPr>
            <w:tcW w:w="182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停车位</w:t>
            </w:r>
          </w:p>
        </w:tc>
        <w:tc>
          <w:tcPr>
            <w:tcW w:w="77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个</w:t>
            </w:r>
          </w:p>
        </w:tc>
        <w:tc>
          <w:tcPr>
            <w:tcW w:w="97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vertAlign w:val="baseline"/>
                <w:lang w:val="en-US" w:eastAsia="zh-CN" w:bidi="ar-SA"/>
              </w:rPr>
            </w:pPr>
            <w:r>
              <w:rPr>
                <w:rFonts w:hint="eastAsia" w:ascii="仿宋" w:hAnsi="仿宋" w:eastAsia="仿宋" w:cs="仿宋"/>
                <w:color w:val="auto"/>
                <w:kern w:val="2"/>
                <w:sz w:val="21"/>
                <w:szCs w:val="21"/>
                <w:vertAlign w:val="baseline"/>
                <w:lang w:val="en-US" w:eastAsia="zh-CN" w:bidi="ar-SA"/>
              </w:rPr>
              <w:t>739</w:t>
            </w:r>
          </w:p>
        </w:tc>
      </w:tr>
    </w:tbl>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480" w:lineRule="auto"/>
        <w:ind w:firstLine="480" w:firstLineChars="200"/>
        <w:jc w:val="both"/>
        <w:textAlignment w:val="auto"/>
        <w:outlineLvl w:val="9"/>
        <w:rPr>
          <w:rFonts w:hint="default" w:ascii="Times New Roman" w:hAnsi="Times New Roman" w:eastAsia="宋体" w:cs="Times New Roman"/>
          <w:color w:val="auto"/>
          <w:sz w:val="24"/>
          <w:lang w:val="en-US" w:eastAsia="zh-CN"/>
        </w:rPr>
      </w:pPr>
    </w:p>
    <w:p>
      <w:pPr>
        <w:bidi w:val="0"/>
        <w:rPr>
          <w:rFonts w:hint="default"/>
          <w:lang w:eastAsia="zh-CN"/>
        </w:rPr>
      </w:pPr>
      <w:r>
        <w:rPr>
          <w:rFonts w:hint="default"/>
          <w:lang w:eastAsia="zh-CN"/>
        </w:rPr>
        <w:t>201</w:t>
      </w:r>
      <w:r>
        <w:rPr>
          <w:rFonts w:hint="eastAsia"/>
          <w:lang w:val="en-US" w:eastAsia="zh-CN"/>
        </w:rPr>
        <w:t>6</w:t>
      </w:r>
      <w:r>
        <w:rPr>
          <w:rFonts w:hint="default"/>
          <w:lang w:eastAsia="zh-CN"/>
        </w:rPr>
        <w:t>年</w:t>
      </w:r>
      <w:r>
        <w:rPr>
          <w:rFonts w:hint="eastAsia"/>
          <w:lang w:val="en-US" w:eastAsia="zh-CN"/>
        </w:rPr>
        <w:t>5</w:t>
      </w:r>
      <w:r>
        <w:rPr>
          <w:rFonts w:hint="default"/>
          <w:lang w:eastAsia="zh-CN"/>
        </w:rPr>
        <w:t>月，衡阳兴欣水土保持咨询有限公司编制完成了《</w:t>
      </w:r>
      <w:r>
        <w:rPr>
          <w:rFonts w:hint="eastAsia"/>
          <w:lang w:eastAsia="zh-CN"/>
        </w:rPr>
        <w:t>衡阳市</w:t>
      </w:r>
      <w:r>
        <w:rPr>
          <w:rFonts w:hint="eastAsia"/>
          <w:lang w:val="en-US" w:eastAsia="zh-CN"/>
        </w:rPr>
        <w:t>廻雁峰公园地下停车场</w:t>
      </w:r>
      <w:r>
        <w:rPr>
          <w:rFonts w:hint="eastAsia"/>
          <w:lang w:eastAsia="zh-CN"/>
        </w:rPr>
        <w:t>项目</w:t>
      </w:r>
      <w:r>
        <w:rPr>
          <w:rFonts w:hint="default"/>
          <w:lang w:eastAsia="zh-CN"/>
        </w:rPr>
        <w:t>水土保持方案报告书》，并通过了</w:t>
      </w:r>
      <w:r>
        <w:rPr>
          <w:rFonts w:hint="default"/>
          <w:lang w:val="en-US" w:eastAsia="zh-CN"/>
        </w:rPr>
        <w:t>衡阳市</w:t>
      </w:r>
      <w:r>
        <w:rPr>
          <w:rFonts w:hint="default"/>
          <w:lang w:eastAsia="zh-CN"/>
        </w:rPr>
        <w:t>水利局的审查。</w:t>
      </w:r>
    </w:p>
    <w:p>
      <w:pPr>
        <w:bidi w:val="0"/>
        <w:rPr>
          <w:rFonts w:hint="eastAsia" w:ascii="Times New Roman" w:hAnsi="Times New Roman"/>
          <w:lang w:val="en-US" w:eastAsia="zh-CN"/>
        </w:rPr>
      </w:pPr>
      <w:r>
        <w:rPr>
          <w:rFonts w:hint="default"/>
          <w:lang w:eastAsia="zh-CN"/>
        </w:rPr>
        <w:t>根据批复的水土保持方案报告书，本项目</w:t>
      </w:r>
      <w:r>
        <w:rPr>
          <w:rFonts w:hint="eastAsia"/>
          <w:lang w:val="en-US" w:eastAsia="zh-CN"/>
        </w:rPr>
        <w:t>位于雁峰区廻雁峰公园内，交通便利。拟建项目位于规划廻雁峰</w:t>
      </w:r>
      <w:r>
        <w:rPr>
          <w:rFonts w:hint="eastAsia" w:ascii="仿宋_GB2312" w:hAnsi="仿宋_GB2312" w:eastAsia="仿宋_GB2312" w:cs="仿宋_GB2312"/>
          <w:lang w:val="en-US" w:eastAsia="zh-CN"/>
        </w:rPr>
        <w:t>·</w:t>
      </w:r>
      <w:r>
        <w:rPr>
          <w:rFonts w:hint="eastAsia" w:ascii="仿宋_GB2312" w:hAnsi="仿宋_GB2312" w:cs="仿宋_GB2312"/>
          <w:lang w:val="en-US" w:eastAsia="zh-CN"/>
        </w:rPr>
        <w:t>巷荫岭棚户区改造项目的地下。项目</w:t>
      </w:r>
      <w:r>
        <w:rPr>
          <w:rFonts w:hint="default"/>
          <w:lang w:eastAsia="zh-CN"/>
        </w:rPr>
        <w:t>占地面积</w:t>
      </w:r>
      <w:r>
        <w:rPr>
          <w:rFonts w:hint="eastAsia" w:ascii="Times New Roman" w:hAnsi="Times New Roman"/>
          <w:lang w:val="en-US" w:eastAsia="zh-CN"/>
        </w:rPr>
        <w:t>48427.08</w:t>
      </w:r>
      <w:r>
        <w:rPr>
          <w:rFonts w:hint="eastAsia" w:ascii="Times New Roman" w:hAnsi="Times New Roman"/>
          <w:lang w:eastAsia="zh-CN"/>
        </w:rPr>
        <w:t>㎡（</w:t>
      </w:r>
      <w:r>
        <w:rPr>
          <w:rFonts w:hint="eastAsia" w:ascii="Times New Roman" w:hAnsi="Times New Roman"/>
          <w:lang w:val="en-US" w:eastAsia="zh-CN"/>
        </w:rPr>
        <w:t>约合4.84h</w:t>
      </w:r>
      <w:r>
        <w:rPr>
          <w:rFonts w:hint="eastAsia" w:ascii="Times New Roman" w:hAnsi="Times New Roman"/>
          <w:lang w:eastAsia="zh-CN"/>
        </w:rPr>
        <w:t>㎡）</w:t>
      </w:r>
      <w:r>
        <w:rPr>
          <w:rFonts w:hint="default" w:ascii="Times New Roman" w:hAnsi="Times New Roman"/>
          <w:lang w:eastAsia="zh-CN"/>
        </w:rPr>
        <w:t>，</w:t>
      </w:r>
      <w:r>
        <w:rPr>
          <w:rFonts w:hint="eastAsia" w:ascii="Times New Roman" w:hAnsi="Times New Roman"/>
          <w:lang w:val="en-US" w:eastAsia="zh-CN"/>
        </w:rPr>
        <w:t>总建筑面积86120.75</w:t>
      </w:r>
      <w:r>
        <w:rPr>
          <w:rFonts w:hint="eastAsia" w:ascii="Times New Roman" w:hAnsi="Times New Roman"/>
          <w:lang w:eastAsia="zh-CN"/>
        </w:rPr>
        <w:t>㎡，</w:t>
      </w:r>
      <w:r>
        <w:rPr>
          <w:rFonts w:hint="eastAsia" w:ascii="Times New Roman" w:hAnsi="Times New Roman"/>
          <w:lang w:val="en-US" w:eastAsia="zh-CN"/>
        </w:rPr>
        <w:t>共设置2652个停车位，分为A、B、C、三个区域，A区和C区为两层，单层层高4.5m，其中A区占地</w:t>
      </w:r>
      <w:r>
        <w:rPr>
          <w:rFonts w:hint="default" w:ascii="Times New Roman" w:hAnsi="Times New Roman"/>
          <w:lang w:eastAsia="zh-CN"/>
        </w:rPr>
        <w:t>14534.80</w:t>
      </w:r>
      <w:r>
        <w:rPr>
          <w:rFonts w:hint="eastAsia" w:ascii="Times New Roman" w:hAnsi="Times New Roman"/>
          <w:lang w:eastAsia="zh-CN"/>
        </w:rPr>
        <w:t>㎡</w:t>
      </w:r>
      <w:r>
        <w:rPr>
          <w:rFonts w:hint="default" w:ascii="Times New Roman" w:hAnsi="Times New Roman"/>
          <w:lang w:eastAsia="zh-CN"/>
        </w:rPr>
        <w:t>，设置1405个停车位</w:t>
      </w:r>
      <w:r>
        <w:rPr>
          <w:rFonts w:hint="eastAsia" w:ascii="Times New Roman" w:hAnsi="Times New Roman"/>
          <w:lang w:eastAsia="zh-CN"/>
        </w:rPr>
        <w:t>；</w:t>
      </w:r>
      <w:r>
        <w:rPr>
          <w:rFonts w:hint="default" w:ascii="Times New Roman" w:hAnsi="Times New Roman"/>
          <w:lang w:eastAsia="zh-CN"/>
        </w:rPr>
        <w:t>C区占地23158.87</w:t>
      </w:r>
      <w:r>
        <w:rPr>
          <w:rFonts w:hint="eastAsia" w:ascii="Times New Roman" w:hAnsi="Times New Roman"/>
          <w:lang w:eastAsia="zh-CN"/>
        </w:rPr>
        <w:t>㎡</w:t>
      </w:r>
      <w:r>
        <w:rPr>
          <w:rFonts w:hint="default" w:ascii="Times New Roman" w:hAnsi="Times New Roman"/>
          <w:lang w:eastAsia="zh-CN"/>
        </w:rPr>
        <w:t>，设置739个停车位</w:t>
      </w:r>
      <w:r>
        <w:rPr>
          <w:rFonts w:hint="eastAsia" w:ascii="Times New Roman" w:hAnsi="Times New Roman"/>
          <w:lang w:eastAsia="zh-CN"/>
        </w:rPr>
        <w:t>；</w:t>
      </w:r>
      <w:r>
        <w:rPr>
          <w:rFonts w:hint="default" w:ascii="Times New Roman" w:hAnsi="Times New Roman"/>
          <w:lang w:eastAsia="zh-CN"/>
        </w:rPr>
        <w:t>B区占地10733.41</w:t>
      </w:r>
      <w:r>
        <w:rPr>
          <w:rFonts w:hint="eastAsia" w:ascii="Times New Roman" w:hAnsi="Times New Roman"/>
          <w:lang w:eastAsia="zh-CN"/>
        </w:rPr>
        <w:t>㎡</w:t>
      </w:r>
      <w:r>
        <w:rPr>
          <w:rFonts w:hint="default" w:ascii="Times New Roman" w:hAnsi="Times New Roman"/>
          <w:lang w:eastAsia="zh-CN"/>
        </w:rPr>
        <w:t>，设置508个停车位</w:t>
      </w:r>
      <w:r>
        <w:rPr>
          <w:rFonts w:hint="eastAsia" w:ascii="Times New Roman" w:hAnsi="Times New Roman"/>
          <w:lang w:eastAsia="zh-CN"/>
        </w:rPr>
        <w:t>；</w:t>
      </w:r>
      <w:r>
        <w:rPr>
          <w:rFonts w:hint="default" w:ascii="Times New Roman" w:hAnsi="Times New Roman"/>
          <w:lang w:eastAsia="zh-CN"/>
        </w:rPr>
        <w:t>负一层为地下人防工程，人防面积515246</w:t>
      </w:r>
      <w:r>
        <w:rPr>
          <w:rFonts w:hint="eastAsia" w:ascii="Times New Roman" w:hAnsi="Times New Roman"/>
          <w:lang w:eastAsia="zh-CN"/>
        </w:rPr>
        <w:t>㎡</w:t>
      </w:r>
      <w:r>
        <w:rPr>
          <w:rFonts w:hint="default" w:ascii="Times New Roman" w:hAnsi="Times New Roman"/>
          <w:lang w:eastAsia="zh-CN"/>
        </w:rPr>
        <w:t>，项目总挖方44.54万</w:t>
      </w:r>
      <w:r>
        <w:rPr>
          <w:rFonts w:hint="eastAsia" w:ascii="Times New Roman" w:hAnsi="Times New Roman"/>
          <w:lang w:val="en-US" w:eastAsia="zh-CN"/>
        </w:rPr>
        <w:t>㎥</w:t>
      </w:r>
      <w:r>
        <w:rPr>
          <w:rFonts w:hint="default" w:ascii="Times New Roman" w:hAnsi="Times New Roman"/>
          <w:lang w:eastAsia="zh-CN"/>
        </w:rPr>
        <w:t>。总填方量26.66万</w:t>
      </w:r>
      <w:r>
        <w:rPr>
          <w:rFonts w:hint="eastAsia" w:ascii="Times New Roman" w:hAnsi="Times New Roman"/>
          <w:lang w:val="en-US" w:eastAsia="zh-CN"/>
        </w:rPr>
        <w:t>㎥</w:t>
      </w:r>
      <w:r>
        <w:rPr>
          <w:rFonts w:hint="eastAsia" w:ascii="Times New Roman" w:hAnsi="Times New Roman"/>
          <w:lang w:eastAsia="zh-CN"/>
        </w:rPr>
        <w:t>、</w:t>
      </w:r>
      <w:r>
        <w:rPr>
          <w:rFonts w:hint="default" w:ascii="Times New Roman" w:hAnsi="Times New Roman"/>
          <w:lang w:eastAsia="zh-CN"/>
        </w:rPr>
        <w:t>余</w:t>
      </w:r>
      <w:r>
        <w:rPr>
          <w:rFonts w:hint="eastAsia" w:ascii="Times New Roman" w:hAnsi="Times New Roman"/>
          <w:lang w:val="en-US" w:eastAsia="zh-CN"/>
        </w:rPr>
        <w:t>土</w:t>
      </w:r>
      <w:r>
        <w:rPr>
          <w:rFonts w:hint="default" w:ascii="Times New Roman" w:hAnsi="Times New Roman"/>
          <w:lang w:eastAsia="zh-CN"/>
        </w:rPr>
        <w:t>17.88万</w:t>
      </w:r>
      <w:r>
        <w:rPr>
          <w:rFonts w:hint="eastAsia" w:ascii="Times New Roman" w:hAnsi="Times New Roman"/>
          <w:lang w:val="en-US" w:eastAsia="zh-CN"/>
        </w:rPr>
        <w:t>㎥</w:t>
      </w:r>
      <w:r>
        <w:rPr>
          <w:rFonts w:hint="default" w:ascii="Times New Roman" w:hAnsi="Times New Roman"/>
          <w:lang w:eastAsia="zh-CN"/>
        </w:rPr>
        <w:t>用于地上建雁峰港荫岭棚户区改造项目、项目计划总投资约32000万元，其中土建投资2776.68万元</w:t>
      </w:r>
      <w:r>
        <w:rPr>
          <w:rFonts w:hint="eastAsia" w:ascii="Times New Roman" w:hAnsi="Times New Roman"/>
          <w:lang w:eastAsia="zh-CN"/>
        </w:rPr>
        <w:t>；</w:t>
      </w:r>
      <w:r>
        <w:rPr>
          <w:rFonts w:hint="default" w:ascii="Times New Roman" w:hAnsi="Times New Roman"/>
          <w:lang w:eastAsia="zh-CN"/>
        </w:rPr>
        <w:t>计划施工工期22个月</w:t>
      </w:r>
      <w:r>
        <w:rPr>
          <w:rFonts w:hint="eastAsia" w:ascii="Times New Roman" w:hAnsi="Times New Roman"/>
          <w:lang w:eastAsia="zh-CN"/>
        </w:rPr>
        <w:t>。</w:t>
      </w:r>
    </w:p>
    <w:p>
      <w:pPr>
        <w:pStyle w:val="4"/>
        <w:bidi w:val="0"/>
        <w:rPr>
          <w:rFonts w:hint="default"/>
          <w:lang w:val="en-US" w:eastAsia="zh-CN"/>
        </w:rPr>
      </w:pPr>
      <w:bookmarkStart w:id="47" w:name="_Toc27831"/>
      <w:r>
        <w:rPr>
          <w:rFonts w:hint="default"/>
          <w:lang w:val="en-US" w:eastAsia="zh-CN"/>
        </w:rPr>
        <w:t>2.2主体工程进展情况</w:t>
      </w:r>
      <w:bookmarkEnd w:id="47"/>
    </w:p>
    <w:p>
      <w:pPr>
        <w:pStyle w:val="5"/>
        <w:bidi w:val="0"/>
        <w:rPr>
          <w:rFonts w:hint="default"/>
          <w:lang w:val="en-US" w:eastAsia="zh-CN"/>
        </w:rPr>
      </w:pPr>
      <w:r>
        <w:rPr>
          <w:rFonts w:hint="default"/>
          <w:lang w:val="en-US" w:eastAsia="zh-CN"/>
        </w:rPr>
        <w:t>2.2.1建筑区</w:t>
      </w:r>
    </w:p>
    <w:p>
      <w:pPr>
        <w:bidi w:val="0"/>
        <w:rPr>
          <w:rFonts w:hint="default"/>
          <w:lang w:val="en-US" w:eastAsia="zh-CN"/>
        </w:rPr>
      </w:pPr>
      <w:r>
        <w:rPr>
          <w:rFonts w:hint="eastAsia"/>
          <w:lang w:val="en-US" w:eastAsia="zh-CN"/>
        </w:rPr>
        <w:t>衡阳市廻雁峰公园地下停车场建设规模约48427.08㎡</w:t>
      </w:r>
      <w:r>
        <w:rPr>
          <w:rFonts w:hint="default"/>
          <w:lang w:val="en-US" w:eastAsia="zh-CN"/>
        </w:rPr>
        <w:t>，</w:t>
      </w:r>
      <w:r>
        <w:rPr>
          <w:rFonts w:hint="eastAsia"/>
          <w:lang w:val="en-US" w:eastAsia="zh-CN"/>
        </w:rPr>
        <w:t>共设置2652个停车位</w:t>
      </w:r>
      <w:r>
        <w:rPr>
          <w:rFonts w:hint="default"/>
          <w:lang w:val="en-US" w:eastAsia="zh-CN"/>
        </w:rPr>
        <w:t>。</w:t>
      </w:r>
      <w:r>
        <w:rPr>
          <w:rFonts w:hint="eastAsia"/>
          <w:lang w:val="en-US" w:eastAsia="zh-CN"/>
        </w:rPr>
        <w:t>分为</w:t>
      </w:r>
      <w:r>
        <w:rPr>
          <w:rFonts w:hint="eastAsia"/>
          <w:lang w:val="en-US" w:eastAsia="zh-CN"/>
        </w:rPr>
        <w:tab/>
      </w:r>
      <w:r>
        <w:rPr>
          <w:rFonts w:hint="eastAsia"/>
          <w:lang w:val="en-US" w:eastAsia="zh-CN"/>
        </w:rPr>
        <w:t>A、B、C三个区</w:t>
      </w:r>
      <w:r>
        <w:rPr>
          <w:rFonts w:hint="default"/>
          <w:lang w:val="en-US" w:eastAsia="zh-CN"/>
        </w:rPr>
        <w:t>。</w:t>
      </w:r>
    </w:p>
    <w:p>
      <w:pPr>
        <w:bidi w:val="0"/>
        <w:rPr>
          <w:rFonts w:hint="default"/>
          <w:lang w:eastAsia="zh-CN"/>
        </w:rPr>
      </w:pPr>
      <w:r>
        <w:rPr>
          <w:rFonts w:hint="default"/>
          <w:lang w:val="en-US" w:eastAsia="zh-CN"/>
        </w:rPr>
        <w:t>本季度</w:t>
      </w:r>
      <w:r>
        <w:rPr>
          <w:rFonts w:hint="eastAsia"/>
          <w:lang w:val="en-US" w:eastAsia="zh-CN"/>
        </w:rPr>
        <w:t>前，此项目的A、B区以竣工验收，C区因其他原因还未开工</w:t>
      </w:r>
      <w:r>
        <w:rPr>
          <w:rFonts w:hint="default"/>
          <w:lang w:eastAsia="zh-CN"/>
        </w:rPr>
        <w:t>。</w:t>
      </w:r>
    </w:p>
    <w:p>
      <w:pPr>
        <w:bidi w:val="0"/>
        <w:rPr>
          <w:rFonts w:hint="default"/>
          <w:lang w:val="en-US" w:eastAsia="zh-CN"/>
        </w:rPr>
      </w:pPr>
      <w:r>
        <w:rPr>
          <w:rFonts w:hint="eastAsia"/>
          <w:lang w:val="en-US" w:eastAsia="zh-CN"/>
        </w:rPr>
        <w:t>建筑区占地面积86120.75</w:t>
      </w:r>
      <w:r>
        <w:rPr>
          <w:rFonts w:hint="default"/>
          <w:lang w:val="en-US" w:eastAsia="zh-CN"/>
        </w:rPr>
        <w:t>h</w:t>
      </w:r>
      <w:r>
        <w:rPr>
          <w:rFonts w:hint="eastAsia"/>
          <w:lang w:val="en-US" w:eastAsia="zh-CN"/>
        </w:rPr>
        <w:t>㎡。</w:t>
      </w:r>
    </w:p>
    <w:p>
      <w:pPr>
        <w:pStyle w:val="5"/>
        <w:bidi w:val="0"/>
        <w:rPr>
          <w:rFonts w:hint="default"/>
          <w:lang w:val="en-US" w:eastAsia="zh-CN"/>
        </w:rPr>
      </w:pPr>
      <w:r>
        <w:rPr>
          <w:rFonts w:hint="default"/>
          <w:lang w:val="en-US" w:eastAsia="zh-CN"/>
        </w:rPr>
        <w:t>2.2.2道路区</w:t>
      </w:r>
    </w:p>
    <w:p>
      <w:pPr>
        <w:bidi w:val="0"/>
        <w:rPr>
          <w:rFonts w:hint="default"/>
          <w:lang w:val="en-US" w:eastAsia="zh-CN"/>
        </w:rPr>
      </w:pPr>
      <w:r>
        <w:rPr>
          <w:rFonts w:hint="default"/>
          <w:lang w:eastAsia="zh-CN"/>
        </w:rPr>
        <w:t>本项目</w:t>
      </w:r>
      <w:r>
        <w:rPr>
          <w:rFonts w:hint="eastAsia"/>
          <w:lang w:val="en-US" w:eastAsia="zh-CN"/>
        </w:rPr>
        <w:t>位于雁峰区廻雁峰公园内，拟建项目位于规划廻雁峰</w:t>
      </w:r>
      <w:r>
        <w:rPr>
          <w:rFonts w:hint="eastAsia" w:ascii="仿宋_GB2312" w:hAnsi="仿宋_GB2312" w:eastAsia="仿宋_GB2312" w:cs="仿宋_GB2312"/>
          <w:lang w:val="en-US" w:eastAsia="zh-CN"/>
        </w:rPr>
        <w:t>·</w:t>
      </w:r>
      <w:r>
        <w:rPr>
          <w:rFonts w:hint="eastAsia" w:ascii="仿宋_GB2312" w:hAnsi="仿宋_GB2312" w:cs="仿宋_GB2312"/>
          <w:lang w:val="en-US" w:eastAsia="zh-CN"/>
        </w:rPr>
        <w:t>巷荫岭棚户区改造项目的地下，无道路区。</w:t>
      </w:r>
    </w:p>
    <w:p>
      <w:pPr>
        <w:pStyle w:val="5"/>
        <w:bidi w:val="0"/>
        <w:rPr>
          <w:rFonts w:hint="default"/>
          <w:lang w:val="en-US" w:eastAsia="zh-CN"/>
        </w:rPr>
      </w:pPr>
      <w:r>
        <w:rPr>
          <w:rFonts w:hint="default"/>
          <w:lang w:val="en-US" w:eastAsia="zh-CN"/>
        </w:rPr>
        <w:t>2.2.3绿化区</w:t>
      </w:r>
    </w:p>
    <w:p>
      <w:pPr>
        <w:bidi w:val="0"/>
        <w:rPr>
          <w:rFonts w:hint="default"/>
          <w:lang w:val="en-US" w:eastAsia="zh-CN"/>
        </w:rPr>
      </w:pPr>
      <w:r>
        <w:rPr>
          <w:rFonts w:hint="default"/>
          <w:lang w:eastAsia="zh-CN"/>
        </w:rPr>
        <w:t>本项目</w:t>
      </w:r>
      <w:r>
        <w:rPr>
          <w:rFonts w:hint="eastAsia"/>
          <w:lang w:val="en-US" w:eastAsia="zh-CN"/>
        </w:rPr>
        <w:t>位于雁峰区廻雁峰公园内，拟建项目位于规划廻雁峰</w:t>
      </w:r>
      <w:r>
        <w:rPr>
          <w:rFonts w:hint="eastAsia" w:ascii="仿宋_GB2312" w:hAnsi="仿宋_GB2312" w:eastAsia="仿宋_GB2312" w:cs="仿宋_GB2312"/>
          <w:lang w:val="en-US" w:eastAsia="zh-CN"/>
        </w:rPr>
        <w:t>·</w:t>
      </w:r>
      <w:r>
        <w:rPr>
          <w:rFonts w:hint="eastAsia" w:ascii="仿宋_GB2312" w:hAnsi="仿宋_GB2312" w:cs="仿宋_GB2312"/>
          <w:lang w:val="en-US" w:eastAsia="zh-CN"/>
        </w:rPr>
        <w:t>巷荫岭棚户区改造项目的地下，无绿化区</w:t>
      </w:r>
      <w:r>
        <w:rPr>
          <w:rFonts w:hint="default"/>
          <w:lang w:val="en-US" w:eastAsia="zh-CN"/>
        </w:rPr>
        <w:t>。</w:t>
      </w:r>
    </w:p>
    <w:p>
      <w:pPr>
        <w:rPr>
          <w:rFonts w:hint="eastAsia" w:ascii="Times New Roman" w:hAnsi="Times New Roman" w:cs="Times New Roman"/>
          <w:color w:val="FF0000"/>
          <w:sz w:val="24"/>
          <w:vertAlign w:val="baseline"/>
          <w:lang w:val="en-US" w:eastAsia="zh-CN"/>
        </w:rPr>
      </w:pPr>
      <w:r>
        <w:rPr>
          <w:rFonts w:hint="eastAsia" w:ascii="Times New Roman" w:hAnsi="Times New Roman" w:cs="Times New Roman"/>
          <w:color w:val="FF0000"/>
          <w:sz w:val="24"/>
          <w:vertAlign w:val="baseline"/>
          <w:lang w:val="en-US" w:eastAsia="zh-CN"/>
        </w:rPr>
        <w:br w:type="page"/>
      </w:r>
    </w:p>
    <w:p>
      <w:pPr>
        <w:pStyle w:val="3"/>
        <w:bidi w:val="0"/>
        <w:ind w:left="0" w:leftChars="0" w:firstLine="0" w:firstLineChars="0"/>
        <w:jc w:val="center"/>
        <w:rPr>
          <w:rFonts w:hint="default"/>
          <w:lang w:val="en-US" w:eastAsia="zh-CN"/>
        </w:rPr>
      </w:pPr>
      <w:bookmarkStart w:id="48" w:name="_Toc12861"/>
      <w:r>
        <w:rPr>
          <w:rFonts w:hint="default"/>
          <w:lang w:val="en-US" w:eastAsia="zh-CN"/>
        </w:rPr>
        <w:t>3、监测工程进展情况</w:t>
      </w:r>
      <w:bookmarkEnd w:id="48"/>
    </w:p>
    <w:p>
      <w:pPr>
        <w:bidi w:val="0"/>
        <w:rPr>
          <w:rFonts w:hint="default"/>
          <w:lang w:val="en-US" w:eastAsia="zh-CN"/>
        </w:rPr>
      </w:pPr>
      <w:r>
        <w:rPr>
          <w:rFonts w:hint="default"/>
          <w:lang w:val="en-US" w:eastAsia="zh-CN"/>
        </w:rPr>
        <w:t>本季度监测小组对现场进行1次调查巡查，主要监测内容为水土流失影响因素、水土流失状况、水土流失危害和水土保持措施实施情况。其中水土流失影响因素采用实地调查和查阅资料等方法获取，主要对项目区内已完成的水土保持措施及已发生产生的水土流失区域 进行调查，统计相关水土流失数据并记录各季度项目区影像资料。</w:t>
      </w:r>
    </w:p>
    <w:p>
      <w:pPr>
        <w:bidi w:val="0"/>
        <w:rPr>
          <w:rFonts w:hint="default"/>
          <w:lang w:val="en-US" w:eastAsia="zh-CN"/>
        </w:rPr>
      </w:pPr>
      <w:r>
        <w:rPr>
          <w:rFonts w:hint="default"/>
          <w:lang w:val="en-US" w:eastAsia="zh-CN"/>
        </w:rPr>
        <w:t>本监测小组于20</w:t>
      </w:r>
      <w:r>
        <w:rPr>
          <w:rFonts w:hint="eastAsia"/>
          <w:lang w:val="en-US" w:eastAsia="zh-CN"/>
        </w:rPr>
        <w:t>21</w:t>
      </w:r>
      <w:r>
        <w:rPr>
          <w:rFonts w:hint="default"/>
          <w:lang w:val="en-US" w:eastAsia="zh-CN"/>
        </w:rPr>
        <w:t>年</w:t>
      </w:r>
      <w:r>
        <w:rPr>
          <w:rFonts w:hint="eastAsia"/>
          <w:lang w:val="en-US" w:eastAsia="zh-CN"/>
        </w:rPr>
        <w:t>12</w:t>
      </w:r>
      <w:r>
        <w:rPr>
          <w:rFonts w:hint="default"/>
          <w:lang w:val="en-US" w:eastAsia="zh-CN"/>
        </w:rPr>
        <w:t>月</w:t>
      </w:r>
      <w:r>
        <w:rPr>
          <w:rFonts w:hint="eastAsia"/>
          <w:lang w:val="en-US" w:eastAsia="zh-CN"/>
        </w:rPr>
        <w:t>18</w:t>
      </w:r>
      <w:r>
        <w:rPr>
          <w:rFonts w:hint="default"/>
          <w:lang w:val="en-US" w:eastAsia="zh-CN"/>
        </w:rPr>
        <w:t>日赴现场进行考察，明确现阶段工程建设中的防治责任范围，并就指出现阶段水土保持工作中存在的问题。</w:t>
      </w:r>
    </w:p>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480" w:lineRule="auto"/>
        <w:jc w:val="center"/>
        <w:textAlignment w:val="auto"/>
        <w:outlineLvl w:val="9"/>
        <w:rPr>
          <w:rFonts w:hint="eastAsia" w:ascii="宋体" w:hAnsi="宋体" w:eastAsia="宋体" w:cs="宋体"/>
          <w:color w:val="auto"/>
          <w:sz w:val="32"/>
          <w:szCs w:val="22"/>
          <w:lang w:val="en-US" w:eastAsia="zh-CN"/>
        </w:rPr>
      </w:pPr>
      <w:r>
        <w:rPr>
          <w:rFonts w:hint="eastAsia" w:ascii="宋体" w:hAnsi="宋体" w:eastAsia="宋体" w:cs="宋体"/>
          <w:b/>
          <w:bCs/>
          <w:color w:val="auto"/>
          <w:sz w:val="28"/>
          <w:szCs w:val="28"/>
          <w:lang w:val="en-US" w:eastAsia="zh-CN"/>
        </w:rPr>
        <w:t>生产建设项目水土保持监测三色评价指标及赋分表</w:t>
      </w:r>
    </w:p>
    <w:tbl>
      <w:tblPr>
        <w:tblStyle w:val="22"/>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065"/>
        <w:gridCol w:w="1853"/>
        <w:gridCol w:w="715"/>
        <w:gridCol w:w="767"/>
        <w:gridCol w:w="41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5" w:hRule="atLeast"/>
        </w:trPr>
        <w:tc>
          <w:tcPr>
            <w:tcW w:w="2918" w:type="dxa"/>
            <w:gridSpan w:val="2"/>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项目名称</w:t>
            </w:r>
          </w:p>
        </w:tc>
        <w:tc>
          <w:tcPr>
            <w:tcW w:w="5604" w:type="dxa"/>
            <w:gridSpan w:val="3"/>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衡阳市廻雁峰公园地下停车场项目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1" w:hRule="atLeast"/>
        </w:trPr>
        <w:tc>
          <w:tcPr>
            <w:tcW w:w="2918" w:type="dxa"/>
            <w:gridSpan w:val="2"/>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监测时段和防治责任范围</w:t>
            </w:r>
          </w:p>
        </w:tc>
        <w:tc>
          <w:tcPr>
            <w:tcW w:w="5604" w:type="dxa"/>
            <w:gridSpan w:val="3"/>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2021年第四季度，</w:t>
            </w:r>
            <w:r>
              <w:rPr>
                <w:rFonts w:hint="eastAsia" w:ascii="宋体" w:hAnsi="宋体" w:eastAsia="宋体" w:cs="宋体"/>
                <w:b w:val="0"/>
                <w:bCs w:val="0"/>
                <w:color w:val="auto"/>
                <w:sz w:val="24"/>
                <w:szCs w:val="24"/>
                <w:highlight w:val="none"/>
                <w:vertAlign w:val="baseline"/>
                <w:lang w:val="en-US" w:eastAsia="zh-CN"/>
              </w:rPr>
              <w:t>8.49</w:t>
            </w:r>
            <w:r>
              <w:rPr>
                <w:rFonts w:hint="eastAsia" w:ascii="宋体" w:hAnsi="宋体" w:eastAsia="宋体" w:cs="宋体"/>
                <w:b w:val="0"/>
                <w:bCs w:val="0"/>
                <w:color w:val="auto"/>
                <w:sz w:val="24"/>
                <w:szCs w:val="24"/>
                <w:vertAlign w:val="baseline"/>
                <w:lang w:val="en-US" w:eastAsia="zh-CN"/>
              </w:rPr>
              <w:t>公顷。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18" w:hRule="atLeast"/>
        </w:trPr>
        <w:tc>
          <w:tcPr>
            <w:tcW w:w="2918" w:type="dxa"/>
            <w:gridSpan w:val="2"/>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三色评价结论</w:t>
            </w:r>
          </w:p>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（勾选）</w:t>
            </w:r>
          </w:p>
        </w:tc>
        <w:tc>
          <w:tcPr>
            <w:tcW w:w="5604" w:type="dxa"/>
            <w:gridSpan w:val="3"/>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绿色</w:t>
            </w:r>
            <w:r>
              <w:rPr>
                <w:rFonts w:hint="eastAsia" w:ascii="宋体" w:hAnsi="宋体" w:eastAsia="宋体" w:cs="宋体"/>
                <w:b w:val="0"/>
                <w:bCs w:val="0"/>
                <w:sz w:val="24"/>
                <w:szCs w:val="24"/>
              </w:rPr>
              <w:sym w:font="Wingdings" w:char="00FE"/>
            </w:r>
            <w:r>
              <w:rPr>
                <w:rFonts w:hint="eastAsia" w:ascii="宋体" w:hAnsi="宋体" w:eastAsia="宋体" w:cs="宋体"/>
                <w:b w:val="0"/>
                <w:bCs w:val="0"/>
                <w:sz w:val="24"/>
                <w:szCs w:val="24"/>
                <w:lang w:val="en-US" w:eastAsia="zh-CN"/>
              </w:rPr>
              <w:t xml:space="preserve">    黄色 </w:t>
            </w:r>
            <w:r>
              <w:rPr>
                <w:rFonts w:hint="eastAsia" w:ascii="宋体" w:hAnsi="宋体" w:eastAsia="宋体" w:cs="宋体"/>
                <w:b w:val="0"/>
                <w:bCs w:val="0"/>
                <w:sz w:val="24"/>
                <w:szCs w:val="24"/>
              </w:rPr>
              <w:sym w:font="Wingdings" w:char="00A8"/>
            </w:r>
            <w:r>
              <w:rPr>
                <w:rFonts w:hint="eastAsia" w:ascii="宋体" w:hAnsi="宋体" w:eastAsia="宋体" w:cs="宋体"/>
                <w:b w:val="0"/>
                <w:bCs w:val="0"/>
                <w:sz w:val="24"/>
                <w:szCs w:val="24"/>
                <w:lang w:val="en-US" w:eastAsia="zh-CN"/>
              </w:rPr>
              <w:t xml:space="preserve">    红色</w:t>
            </w:r>
            <w:r>
              <w:rPr>
                <w:rFonts w:hint="eastAsia" w:ascii="宋体" w:hAnsi="宋体" w:eastAsia="宋体" w:cs="宋体"/>
                <w:b w:val="0"/>
                <w:bCs w:val="0"/>
                <w:sz w:val="24"/>
                <w:szCs w:val="24"/>
              </w:rPr>
              <w:sym w:font="Wingdings" w:char="00A8"/>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3" w:hRule="atLeast"/>
        </w:trPr>
        <w:tc>
          <w:tcPr>
            <w:tcW w:w="2918" w:type="dxa"/>
            <w:gridSpan w:val="2"/>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评价指标</w:t>
            </w:r>
          </w:p>
        </w:tc>
        <w:tc>
          <w:tcPr>
            <w:tcW w:w="715"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分值</w:t>
            </w:r>
          </w:p>
        </w:tc>
        <w:tc>
          <w:tcPr>
            <w:tcW w:w="767"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得分</w:t>
            </w:r>
          </w:p>
        </w:tc>
        <w:tc>
          <w:tcPr>
            <w:tcW w:w="4122"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赋分说明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6" w:hRule="atLeast"/>
        </w:trPr>
        <w:tc>
          <w:tcPr>
            <w:tcW w:w="1065" w:type="dxa"/>
            <w:vMerge w:val="restart"/>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扰动土地情况</w:t>
            </w:r>
          </w:p>
        </w:tc>
        <w:tc>
          <w:tcPr>
            <w:tcW w:w="1853"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扰动范围</w:t>
            </w:r>
          </w:p>
        </w:tc>
        <w:tc>
          <w:tcPr>
            <w:tcW w:w="715"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15</w:t>
            </w:r>
          </w:p>
        </w:tc>
        <w:tc>
          <w:tcPr>
            <w:tcW w:w="767"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15</w:t>
            </w:r>
          </w:p>
        </w:tc>
        <w:tc>
          <w:tcPr>
            <w:tcW w:w="4122"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项目区围墙完善，无范围增加。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2" w:hRule="atLeast"/>
        </w:trPr>
        <w:tc>
          <w:tcPr>
            <w:tcW w:w="1065" w:type="dxa"/>
            <w:vMerge w:val="continue"/>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p>
        </w:tc>
        <w:tc>
          <w:tcPr>
            <w:tcW w:w="1853"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表土剥离保护</w:t>
            </w:r>
          </w:p>
        </w:tc>
        <w:tc>
          <w:tcPr>
            <w:tcW w:w="715"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5</w:t>
            </w:r>
          </w:p>
        </w:tc>
        <w:tc>
          <w:tcPr>
            <w:tcW w:w="767"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5</w:t>
            </w:r>
          </w:p>
        </w:tc>
        <w:tc>
          <w:tcPr>
            <w:tcW w:w="4122"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表土剥离已基本完成，表面覆盖完好。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065" w:type="dxa"/>
            <w:vMerge w:val="continue"/>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p>
        </w:tc>
        <w:tc>
          <w:tcPr>
            <w:tcW w:w="1853"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弃土（石、渣）堆放</w:t>
            </w:r>
          </w:p>
        </w:tc>
        <w:tc>
          <w:tcPr>
            <w:tcW w:w="715"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15</w:t>
            </w:r>
          </w:p>
        </w:tc>
        <w:tc>
          <w:tcPr>
            <w:tcW w:w="767"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15</w:t>
            </w:r>
          </w:p>
        </w:tc>
        <w:tc>
          <w:tcPr>
            <w:tcW w:w="4122"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弃土、石、渣基本堆放在规定弃渣场内，现场无乱弃乱堆现象。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2918" w:type="dxa"/>
            <w:gridSpan w:val="2"/>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水土流失状况</w:t>
            </w:r>
          </w:p>
        </w:tc>
        <w:tc>
          <w:tcPr>
            <w:tcW w:w="715"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15</w:t>
            </w:r>
          </w:p>
        </w:tc>
        <w:tc>
          <w:tcPr>
            <w:tcW w:w="767"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13</w:t>
            </w:r>
          </w:p>
        </w:tc>
        <w:tc>
          <w:tcPr>
            <w:tcW w:w="4122"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因项目区排水设施清淤工作不及时，估计水土流失情况约100m³，因此扣2分。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065" w:type="dxa"/>
            <w:vMerge w:val="restart"/>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水土流失防治成效</w:t>
            </w:r>
          </w:p>
        </w:tc>
        <w:tc>
          <w:tcPr>
            <w:tcW w:w="1853"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工程措施</w:t>
            </w:r>
          </w:p>
        </w:tc>
        <w:tc>
          <w:tcPr>
            <w:tcW w:w="715"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20</w:t>
            </w:r>
          </w:p>
        </w:tc>
        <w:tc>
          <w:tcPr>
            <w:tcW w:w="767"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16</w:t>
            </w:r>
          </w:p>
        </w:tc>
        <w:tc>
          <w:tcPr>
            <w:tcW w:w="4122"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工程措施清淤工作不及时，拦挡措施有损坏，扣4分。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7" w:hRule="atLeast"/>
        </w:trPr>
        <w:tc>
          <w:tcPr>
            <w:tcW w:w="1065" w:type="dxa"/>
            <w:vMerge w:val="continue"/>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p>
        </w:tc>
        <w:tc>
          <w:tcPr>
            <w:tcW w:w="1853"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植物措施</w:t>
            </w:r>
          </w:p>
        </w:tc>
        <w:tc>
          <w:tcPr>
            <w:tcW w:w="715"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15</w:t>
            </w:r>
          </w:p>
        </w:tc>
        <w:tc>
          <w:tcPr>
            <w:tcW w:w="767"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13</w:t>
            </w:r>
          </w:p>
        </w:tc>
        <w:tc>
          <w:tcPr>
            <w:tcW w:w="4122"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植物措施还未完全展开，因此扣2分。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065" w:type="dxa"/>
            <w:vMerge w:val="continue"/>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p>
        </w:tc>
        <w:tc>
          <w:tcPr>
            <w:tcW w:w="1853"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临时措施</w:t>
            </w:r>
          </w:p>
        </w:tc>
        <w:tc>
          <w:tcPr>
            <w:tcW w:w="715"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10</w:t>
            </w:r>
          </w:p>
        </w:tc>
        <w:tc>
          <w:tcPr>
            <w:tcW w:w="767"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6</w:t>
            </w:r>
          </w:p>
        </w:tc>
        <w:tc>
          <w:tcPr>
            <w:tcW w:w="4122"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临时防护措施落实不及时，不到位，有2处，因此扣4分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1" w:hRule="atLeast"/>
        </w:trPr>
        <w:tc>
          <w:tcPr>
            <w:tcW w:w="2918" w:type="dxa"/>
            <w:gridSpan w:val="2"/>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水土流失危害</w:t>
            </w:r>
          </w:p>
        </w:tc>
        <w:tc>
          <w:tcPr>
            <w:tcW w:w="715"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5</w:t>
            </w:r>
          </w:p>
        </w:tc>
        <w:tc>
          <w:tcPr>
            <w:tcW w:w="767"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3</w:t>
            </w:r>
          </w:p>
        </w:tc>
        <w:tc>
          <w:tcPr>
            <w:tcW w:w="4122"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水土保持防护措施不到位，但又不到一般危害，扣2分。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2918" w:type="dxa"/>
            <w:gridSpan w:val="2"/>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合计</w:t>
            </w:r>
          </w:p>
        </w:tc>
        <w:tc>
          <w:tcPr>
            <w:tcW w:w="715"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100</w:t>
            </w:r>
          </w:p>
        </w:tc>
        <w:tc>
          <w:tcPr>
            <w:tcW w:w="767"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86</w:t>
            </w:r>
          </w:p>
        </w:tc>
        <w:tc>
          <w:tcPr>
            <w:tcW w:w="4122" w:type="dxa"/>
            <w:tcBorders>
              <w:tl2br w:val="nil"/>
              <w:tr2bl w:val="nil"/>
            </w:tcBorders>
            <w:vAlign w:val="center"/>
          </w:tcPr>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eastAsia" w:ascii="宋体" w:hAnsi="宋体" w:eastAsia="宋体" w:cs="宋体"/>
                <w:b w:val="0"/>
                <w:bCs w:val="0"/>
                <w:color w:val="auto"/>
                <w:sz w:val="24"/>
                <w:szCs w:val="24"/>
                <w:vertAlign w:val="baseline"/>
                <w:lang w:val="en-US" w:eastAsia="zh-CN"/>
              </w:rPr>
            </w:pPr>
          </w:p>
        </w:tc>
      </w:tr>
    </w:tbl>
    <w:p>
      <w:pPr>
        <w:bidi w:val="0"/>
        <w:spacing w:line="240" w:lineRule="auto"/>
        <w:ind w:left="0" w:leftChars="0" w:firstLine="0" w:firstLineChars="0"/>
        <w:rPr>
          <w:rFonts w:hint="default"/>
          <w:sz w:val="21"/>
          <w:szCs w:val="21"/>
          <w:lang w:val="en-US" w:eastAsia="zh-CN"/>
        </w:rPr>
      </w:pPr>
      <w:r>
        <w:rPr>
          <w:rFonts w:hint="default"/>
          <w:sz w:val="21"/>
          <w:szCs w:val="21"/>
          <w:lang w:val="en-US" w:eastAsia="zh-CN"/>
        </w:rPr>
        <w:t>备注：</w:t>
      </w:r>
    </w:p>
    <w:p>
      <w:pPr>
        <w:bidi w:val="0"/>
        <w:spacing w:line="240" w:lineRule="auto"/>
        <w:rPr>
          <w:rFonts w:hint="default"/>
          <w:sz w:val="21"/>
          <w:szCs w:val="21"/>
          <w:lang w:val="en-US" w:eastAsia="zh-CN"/>
        </w:rPr>
      </w:pPr>
      <w:r>
        <w:rPr>
          <w:rFonts w:hint="default"/>
          <w:sz w:val="21"/>
          <w:szCs w:val="21"/>
          <w:lang w:val="en-US" w:eastAsia="zh-CN"/>
        </w:rPr>
        <w:t>1、监测季报三色评价得分为各项评价指标得分之和，满分为100分。</w:t>
      </w:r>
    </w:p>
    <w:p>
      <w:pPr>
        <w:bidi w:val="0"/>
        <w:spacing w:line="240" w:lineRule="auto"/>
        <w:rPr>
          <w:rFonts w:hint="default"/>
          <w:sz w:val="21"/>
          <w:szCs w:val="21"/>
          <w:lang w:val="en-US" w:eastAsia="zh-CN"/>
        </w:rPr>
      </w:pPr>
      <w:r>
        <w:rPr>
          <w:rFonts w:hint="default"/>
          <w:sz w:val="21"/>
          <w:szCs w:val="21"/>
          <w:lang w:val="en-US" w:eastAsia="zh-CN"/>
        </w:rPr>
        <w:t>发生严重水土流失危害事件，或者拒不落实水行政主管部门限期整改要求的生产建设项目，实行“一票否决”，三色评价结论为红色，总得分为0。</w:t>
      </w:r>
    </w:p>
    <w:p>
      <w:pPr>
        <w:bidi w:val="0"/>
        <w:spacing w:line="240" w:lineRule="auto"/>
        <w:rPr>
          <w:rFonts w:hint="default" w:ascii="Times New Roman" w:hAnsi="Times New Roman" w:cs="Times New Roman"/>
          <w:sz w:val="21"/>
          <w:szCs w:val="21"/>
          <w:lang w:val="en-US" w:eastAsia="zh-CN"/>
        </w:rPr>
      </w:pPr>
      <w:r>
        <w:rPr>
          <w:rFonts w:hint="default"/>
          <w:sz w:val="21"/>
          <w:szCs w:val="21"/>
          <w:lang w:val="en-US" w:eastAsia="zh-CN"/>
        </w:rPr>
        <w:t>3、上述扣分规则适用超过100公顷的生产建设项目；不超过100公顷的生产建设项目各项评价指标（除“水土流失危害”）按上述扣分规则的两倍扣分。</w:t>
      </w:r>
      <w:bookmarkStart w:id="49" w:name="_Toc24634"/>
    </w:p>
    <w:p>
      <w:pPr>
        <w:pStyle w:val="4"/>
        <w:bidi w:val="0"/>
        <w:rPr>
          <w:rFonts w:hint="default"/>
          <w:lang w:val="en-US" w:eastAsia="zh-CN"/>
        </w:rPr>
      </w:pPr>
      <w:r>
        <w:rPr>
          <w:rFonts w:hint="default"/>
          <w:lang w:val="en-US" w:eastAsia="zh-CN"/>
        </w:rPr>
        <w:t>3.1水土保持监测内容</w:t>
      </w:r>
      <w:bookmarkEnd w:id="49"/>
    </w:p>
    <w:p>
      <w:pPr>
        <w:bidi w:val="0"/>
        <w:rPr>
          <w:rFonts w:hint="default"/>
          <w:lang w:val="en-US" w:eastAsia="zh-CN"/>
        </w:rPr>
      </w:pPr>
      <w:r>
        <w:rPr>
          <w:rFonts w:hint="default"/>
          <w:lang w:val="en-US" w:eastAsia="zh-CN"/>
        </w:rPr>
        <w:t>根据建设期工程的水土流失特点及工程施工进度，本季度主要监测以下内容：</w:t>
      </w:r>
    </w:p>
    <w:p>
      <w:pPr>
        <w:bidi w:val="0"/>
        <w:rPr>
          <w:rFonts w:hint="default"/>
          <w:b/>
          <w:bCs/>
        </w:rPr>
      </w:pPr>
      <w:r>
        <w:rPr>
          <w:rFonts w:hint="default"/>
          <w:b/>
          <w:bCs/>
          <w:lang w:val="en-US" w:eastAsia="zh-CN"/>
        </w:rPr>
        <w:t>①</w:t>
      </w:r>
      <w:r>
        <w:rPr>
          <w:rFonts w:hint="default"/>
          <w:b/>
          <w:bCs/>
        </w:rPr>
        <w:t>施工建设扰动面积、水土流失防治责任范围</w:t>
      </w:r>
    </w:p>
    <w:p>
      <w:pPr>
        <w:bidi w:val="0"/>
        <w:rPr>
          <w:rFonts w:hint="default"/>
          <w:lang w:val="en-US" w:eastAsia="zh-CN"/>
        </w:rPr>
      </w:pPr>
      <w:r>
        <w:rPr>
          <w:rFonts w:hint="default"/>
          <w:lang w:val="en-US" w:eastAsia="zh-CN"/>
        </w:rPr>
        <w:t>建设项目防治责任范围包括去项目的整个建设区域。该项目均为永久占地，征占地面积在项目建设之前就已经确定，随着施工阶段的推进，影响面积随施工进度变化，防治责任范围动态监测主要是通过监测临时占地和直接影响区的面积，确定施工期防治责任范围面积。</w:t>
      </w:r>
    </w:p>
    <w:p>
      <w:pPr>
        <w:bidi w:val="0"/>
        <w:rPr>
          <w:rFonts w:hint="default"/>
          <w:b/>
          <w:bCs/>
        </w:rPr>
      </w:pPr>
      <w:r>
        <w:rPr>
          <w:rFonts w:hint="default"/>
          <w:b/>
          <w:bCs/>
          <w:lang w:val="en-US" w:eastAsia="zh-CN"/>
        </w:rPr>
        <w:t>②</w:t>
      </w:r>
      <w:r>
        <w:rPr>
          <w:rFonts w:hint="default"/>
          <w:b/>
          <w:bCs/>
        </w:rPr>
        <w:t xml:space="preserve">项目区与水土流失相关的气象、水文因子的监测 </w:t>
      </w:r>
    </w:p>
    <w:p>
      <w:pPr>
        <w:bidi w:val="0"/>
        <w:rPr>
          <w:rFonts w:hint="default"/>
        </w:rPr>
      </w:pPr>
      <w:r>
        <w:rPr>
          <w:rFonts w:hint="default"/>
        </w:rPr>
        <w:t>降雨量、气温、风、水位、流量、泥沙量等，不单独监测，参照当地气象监测资料。</w:t>
      </w:r>
    </w:p>
    <w:p>
      <w:pPr>
        <w:bidi w:val="0"/>
        <w:rPr>
          <w:rFonts w:hint="default"/>
          <w:b/>
          <w:bCs/>
          <w:lang w:val="en-US" w:eastAsia="zh-CN"/>
        </w:rPr>
      </w:pPr>
      <w:r>
        <w:rPr>
          <w:rFonts w:hint="default"/>
          <w:b/>
          <w:bCs/>
          <w:lang w:val="en-US" w:eastAsia="zh-CN"/>
        </w:rPr>
        <w:t>③</w:t>
      </w:r>
      <w:r>
        <w:rPr>
          <w:rFonts w:hint="default"/>
          <w:b/>
          <w:bCs/>
        </w:rPr>
        <w:t>项目区水土流失因子的监测</w:t>
      </w:r>
    </w:p>
    <w:p>
      <w:pPr>
        <w:bidi w:val="0"/>
        <w:rPr>
          <w:rFonts w:hint="default"/>
        </w:rPr>
      </w:pPr>
      <w:r>
        <w:rPr>
          <w:rFonts w:hint="default"/>
        </w:rPr>
        <w:t>a)地形、地貌、植被扰动面积的变化；</w:t>
      </w:r>
    </w:p>
    <w:p>
      <w:pPr>
        <w:bidi w:val="0"/>
        <w:rPr>
          <w:rFonts w:hint="default"/>
        </w:rPr>
      </w:pPr>
      <w:r>
        <w:rPr>
          <w:rFonts w:hint="default"/>
        </w:rPr>
        <w:t>b)项目挖方、填方数量、面积和存弃渣量及堆放面积；</w:t>
      </w:r>
    </w:p>
    <w:p>
      <w:pPr>
        <w:bidi w:val="0"/>
        <w:rPr>
          <w:rFonts w:hint="default"/>
        </w:rPr>
      </w:pPr>
      <w:r>
        <w:rPr>
          <w:rFonts w:hint="default"/>
        </w:rPr>
        <w:t>c)项目区的林草覆盖度。</w:t>
      </w:r>
    </w:p>
    <w:p>
      <w:pPr>
        <w:bidi w:val="0"/>
        <w:rPr>
          <w:rFonts w:hint="default"/>
          <w:lang w:val="en-US" w:eastAsia="zh-CN"/>
        </w:rPr>
      </w:pPr>
      <w:r>
        <w:rPr>
          <w:rFonts w:hint="default"/>
          <w:b/>
          <w:bCs/>
          <w:lang w:val="en-US" w:eastAsia="zh-CN"/>
        </w:rPr>
        <w:t>④</w:t>
      </w:r>
      <w:r>
        <w:rPr>
          <w:rFonts w:hint="default"/>
          <w:b/>
          <w:bCs/>
        </w:rPr>
        <w:t>水土保持临时防治措施情况的监测</w:t>
      </w:r>
      <w:r>
        <w:rPr>
          <w:rFonts w:hint="default"/>
        </w:rPr>
        <w:t xml:space="preserve"> </w:t>
      </w:r>
    </w:p>
    <w:p>
      <w:pPr>
        <w:bidi w:val="0"/>
        <w:rPr>
          <w:rFonts w:hint="default"/>
        </w:rPr>
      </w:pPr>
      <w:r>
        <w:rPr>
          <w:rFonts w:hint="default"/>
        </w:rPr>
        <w:t>a)工程表土剥离量、堆放方式、有无临时措施；</w:t>
      </w:r>
    </w:p>
    <w:p>
      <w:pPr>
        <w:bidi w:val="0"/>
        <w:rPr>
          <w:rFonts w:hint="default"/>
        </w:rPr>
      </w:pPr>
      <w:r>
        <w:rPr>
          <w:rFonts w:hint="default"/>
        </w:rPr>
        <w:t>b)工程临时弃土（渣）量；</w:t>
      </w:r>
    </w:p>
    <w:p>
      <w:pPr>
        <w:bidi w:val="0"/>
        <w:rPr>
          <w:rFonts w:hint="default"/>
        </w:rPr>
      </w:pPr>
      <w:r>
        <w:rPr>
          <w:rFonts w:hint="default"/>
        </w:rPr>
        <w:t>c)水土保持临时防护措施的数量与质量；</w:t>
      </w:r>
    </w:p>
    <w:p>
      <w:pPr>
        <w:bidi w:val="0"/>
        <w:rPr>
          <w:rFonts w:hint="default"/>
          <w:lang w:val="en-US" w:eastAsia="zh-CN"/>
        </w:rPr>
      </w:pPr>
      <w:r>
        <w:rPr>
          <w:rFonts w:hint="default"/>
        </w:rPr>
        <w:t>d)水土保持临时措施防治效果监测，包括临时拦渣率、临时覆盖率、临时措施防治面积等。</w:t>
      </w:r>
    </w:p>
    <w:p>
      <w:pPr>
        <w:pStyle w:val="4"/>
        <w:bidi w:val="0"/>
        <w:rPr>
          <w:rFonts w:hint="default"/>
          <w:lang w:val="en-US" w:eastAsia="zh-CN"/>
        </w:rPr>
      </w:pPr>
      <w:bookmarkStart w:id="50" w:name="_Toc129"/>
      <w:r>
        <w:rPr>
          <w:rFonts w:hint="default"/>
          <w:lang w:val="en-US" w:eastAsia="zh-CN"/>
        </w:rPr>
        <w:t>3.2水土保持监测方法</w:t>
      </w:r>
      <w:bookmarkEnd w:id="50"/>
    </w:p>
    <w:p>
      <w:pPr>
        <w:bidi w:val="0"/>
        <w:rPr>
          <w:rFonts w:hint="default"/>
          <w:lang w:val="en-US" w:eastAsia="zh-CN"/>
        </w:rPr>
      </w:pPr>
      <w:r>
        <w:rPr>
          <w:rFonts w:hint="default"/>
        </w:rPr>
        <w:t>根据主体工程施工进度和本工程监测实施方案，气象水文以收集工程区内或临近区域已有气象站的气象观测资料数据为主；工程建设区扰动地表、弃渣等施工活动引起的水土流失量以及变化情况，通过简易水土流失观测场法、简易坡面量测法、沉沙池法等进行监测，水土保持措施实施效果监测，采用抽样调查的方式进行。</w:t>
      </w:r>
    </w:p>
    <w:p>
      <w:pPr>
        <w:bidi w:val="0"/>
        <w:rPr>
          <w:rFonts w:hint="default"/>
        </w:rPr>
      </w:pPr>
      <w:r>
        <w:rPr>
          <w:rFonts w:hint="default"/>
        </w:rPr>
        <w:t>水土保持措施的实施数量，采用抽样调查的方式，通过实地调查核实；水土保持措施的质量，通过抽样调查的方式进行。对于工程防治措施，主要调查其稳定性、完好程度、质量和运行状况，按照《生产建设项目水土保持监测规程（试行）》(办水保[2015]139号)中规定的方法，并参照《水土保持综合治理规划通则》（GB/T15772-1995）、《水土保持综合治理技术规范》（GB/T16453.1~16453.6-1996）的规定；植物措施主要调查其林草的成活率、保存率、生长发育情况（林木的树高、胸径、冠幅）、抗冻性及其植被覆盖度的变化，采用《生产建设项目水土保持监测规程（试行）》(办水保[2015]139号)规定的方法。</w:t>
      </w:r>
    </w:p>
    <w:p>
      <w:pPr>
        <w:pStyle w:val="4"/>
        <w:bidi w:val="0"/>
        <w:rPr>
          <w:rFonts w:hint="default"/>
          <w:lang w:val="en-US" w:eastAsia="zh-CN"/>
        </w:rPr>
      </w:pPr>
      <w:bookmarkStart w:id="51" w:name="_Toc28451"/>
      <w:r>
        <w:rPr>
          <w:rFonts w:hint="default"/>
          <w:lang w:val="en-US" w:eastAsia="zh-CN"/>
        </w:rPr>
        <w:t>3.3监测点</w:t>
      </w:r>
      <w:bookmarkEnd w:id="51"/>
    </w:p>
    <w:p>
      <w:pPr>
        <w:bidi w:val="0"/>
        <w:rPr>
          <w:rFonts w:hint="default"/>
          <w:lang w:val="en-US" w:eastAsia="zh-CN"/>
        </w:rPr>
      </w:pPr>
      <w:r>
        <w:rPr>
          <w:rFonts w:hint="eastAsia"/>
          <w:lang w:val="en-US" w:eastAsia="zh-CN"/>
        </w:rPr>
        <w:t>衡阳市图书馆建设工程项目</w:t>
      </w:r>
      <w:r>
        <w:rPr>
          <w:rFonts w:hint="default"/>
          <w:lang w:val="en-US" w:eastAsia="zh-CN"/>
        </w:rPr>
        <w:t>同时辅以巡查监测，本工程目前处于运行期，本次报告根据项目区现状进行了一次全面巡查。</w:t>
      </w:r>
      <w:bookmarkStart w:id="52" w:name="_Toc2633"/>
    </w:p>
    <w:p>
      <w:pPr>
        <w:pStyle w:val="3"/>
        <w:bidi w:val="0"/>
        <w:ind w:left="0" w:leftChars="0" w:firstLine="0" w:firstLineChars="0"/>
        <w:jc w:val="center"/>
        <w:rPr>
          <w:rFonts w:hint="default"/>
          <w:lang w:val="en-US" w:eastAsia="zh-CN"/>
        </w:rPr>
        <w:sectPr>
          <w:footerReference r:id="rId5" w:type="default"/>
          <w:pgSz w:w="11922" w:h="16838"/>
          <w:pgMar w:top="1440" w:right="1440" w:bottom="1440" w:left="1440" w:header="850" w:footer="992" w:gutter="0"/>
          <w:pgBorders>
            <w:top w:val="none" w:sz="0" w:space="0"/>
            <w:left w:val="none" w:sz="0" w:space="0"/>
            <w:bottom w:val="none" w:sz="0" w:space="0"/>
            <w:right w:val="none" w:sz="0" w:space="0"/>
          </w:pgBorders>
          <w:pgNumType w:fmt="decimal"/>
          <w:cols w:space="0" w:num="1"/>
          <w:rtlGutter w:val="0"/>
          <w:docGrid w:linePitch="312" w:charSpace="0"/>
        </w:sectPr>
      </w:pPr>
    </w:p>
    <w:p>
      <w:pPr>
        <w:pStyle w:val="3"/>
        <w:bidi w:val="0"/>
        <w:rPr>
          <w:rFonts w:hint="default"/>
          <w:lang w:val="en-US" w:eastAsia="zh-CN"/>
        </w:rPr>
      </w:pPr>
      <w:r>
        <w:rPr>
          <w:rFonts w:hint="default"/>
          <w:lang w:val="en-US" w:eastAsia="zh-CN"/>
        </w:rPr>
        <w:t>4、监测结果与分析</w:t>
      </w:r>
      <w:bookmarkEnd w:id="52"/>
    </w:p>
    <w:p>
      <w:pPr>
        <w:pStyle w:val="4"/>
        <w:bidi w:val="0"/>
        <w:rPr>
          <w:rFonts w:hint="default"/>
          <w:lang w:val="en-US" w:eastAsia="zh-CN"/>
        </w:rPr>
      </w:pPr>
      <w:bookmarkStart w:id="53" w:name="_Toc17251"/>
      <w:r>
        <w:rPr>
          <w:rFonts w:hint="default"/>
          <w:lang w:val="en-US" w:eastAsia="zh-CN"/>
        </w:rPr>
        <w:t>4.1重点监测指标监测结果分析</w:t>
      </w:r>
      <w:bookmarkEnd w:id="53"/>
    </w:p>
    <w:p>
      <w:pPr>
        <w:pStyle w:val="5"/>
        <w:bidi w:val="0"/>
        <w:rPr>
          <w:rFonts w:hint="default"/>
          <w:lang w:val="en-US" w:eastAsia="zh-CN"/>
        </w:rPr>
      </w:pPr>
      <w:r>
        <w:rPr>
          <w:rFonts w:hint="default"/>
          <w:lang w:val="en-US" w:eastAsia="zh-CN"/>
        </w:rPr>
        <w:t>4.1.1项目区防治责任范围面积</w:t>
      </w:r>
    </w:p>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cs="Times New Roman"/>
          <w:b/>
          <w:bCs/>
          <w:sz w:val="22"/>
          <w:szCs w:val="22"/>
          <w:vertAlign w:val="superscript"/>
          <w:lang w:val="en-US" w:eastAsia="zh-CN"/>
        </w:rPr>
      </w:pPr>
      <w:r>
        <w:rPr>
          <w:rFonts w:hint="default" w:ascii="Times New Roman" w:hAnsi="Times New Roman" w:cs="Times New Roman"/>
          <w:b/>
          <w:bCs/>
          <w:sz w:val="22"/>
          <w:szCs w:val="22"/>
          <w:lang w:val="en-US" w:eastAsia="zh-CN"/>
        </w:rPr>
        <w:t>表4-1  实地水土流失防治责任范围  单位h</w:t>
      </w:r>
      <w:r>
        <w:rPr>
          <w:rFonts w:hint="eastAsia" w:ascii="Times New Roman" w:hAnsi="Times New Roman" w:cs="Times New Roman"/>
          <w:b/>
          <w:bCs/>
          <w:sz w:val="22"/>
          <w:szCs w:val="22"/>
          <w:lang w:val="en-US" w:eastAsia="zh-CN"/>
        </w:rPr>
        <w:t>㎡</w:t>
      </w:r>
    </w:p>
    <w:tbl>
      <w:tblPr>
        <w:tblStyle w:val="22"/>
        <w:tblW w:w="38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0"/>
        <w:gridCol w:w="3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93" w:type="pct"/>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防治分区</w:t>
            </w:r>
          </w:p>
        </w:tc>
        <w:tc>
          <w:tcPr>
            <w:tcW w:w="2806" w:type="pct"/>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防治责任范围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93"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建筑区</w:t>
            </w:r>
          </w:p>
        </w:tc>
        <w:tc>
          <w:tcPr>
            <w:tcW w:w="2806" w:type="pct"/>
            <w:vAlign w:val="center"/>
          </w:tcPr>
          <w:p>
            <w:pPr>
              <w:widowControl w:val="0"/>
              <w:spacing w:line="240" w:lineRule="auto"/>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93"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合计</w:t>
            </w:r>
          </w:p>
        </w:tc>
        <w:tc>
          <w:tcPr>
            <w:tcW w:w="2806" w:type="pct"/>
            <w:vAlign w:val="center"/>
          </w:tcPr>
          <w:p>
            <w:pPr>
              <w:widowControl w:val="0"/>
              <w:spacing w:line="240" w:lineRule="auto"/>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8.61</w:t>
            </w:r>
          </w:p>
        </w:tc>
      </w:tr>
    </w:tbl>
    <w:p>
      <w:pPr>
        <w:pStyle w:val="5"/>
        <w:bidi w:val="0"/>
        <w:rPr>
          <w:rFonts w:hint="default"/>
          <w:lang w:val="en-US" w:eastAsia="zh-CN"/>
        </w:rPr>
      </w:pPr>
    </w:p>
    <w:p>
      <w:pPr>
        <w:pStyle w:val="5"/>
        <w:bidi w:val="0"/>
        <w:rPr>
          <w:rFonts w:hint="default"/>
          <w:lang w:val="en-US" w:eastAsia="zh-CN"/>
        </w:rPr>
      </w:pPr>
      <w:r>
        <w:rPr>
          <w:rFonts w:hint="default"/>
          <w:lang w:val="en-US" w:eastAsia="zh-CN"/>
        </w:rPr>
        <w:t>4.1.2扰动土地面积</w:t>
      </w:r>
    </w:p>
    <w:p>
      <w:pPr>
        <w:bidi w:val="0"/>
        <w:rPr>
          <w:rFonts w:hint="default"/>
          <w:lang w:val="en-US" w:eastAsia="zh-CN"/>
        </w:rPr>
      </w:pPr>
      <w:r>
        <w:rPr>
          <w:rFonts w:hint="default"/>
          <w:lang w:val="en-US" w:eastAsia="zh-CN"/>
        </w:rPr>
        <w:t>本项目水土保持监测范围为整个项目区，包括建筑物区</w:t>
      </w:r>
      <w:r>
        <w:rPr>
          <w:rFonts w:hint="default"/>
          <w:lang w:eastAsia="zh-CN"/>
        </w:rPr>
        <w:t>、</w:t>
      </w:r>
      <w:r>
        <w:rPr>
          <w:rFonts w:hint="default"/>
          <w:lang w:val="en-US" w:eastAsia="zh-CN"/>
        </w:rPr>
        <w:t>道路广场区</w:t>
      </w:r>
      <w:r>
        <w:rPr>
          <w:rFonts w:hint="default"/>
          <w:lang w:eastAsia="zh-CN"/>
        </w:rPr>
        <w:t>、</w:t>
      </w:r>
      <w:r>
        <w:rPr>
          <w:rFonts w:hint="default"/>
          <w:lang w:val="en-US" w:eastAsia="zh-CN"/>
        </w:rPr>
        <w:t>绿化景观</w:t>
      </w:r>
      <w:r>
        <w:rPr>
          <w:rFonts w:hint="default"/>
          <w:lang w:eastAsia="zh-CN"/>
        </w:rPr>
        <w:t>区、</w:t>
      </w:r>
      <w:r>
        <w:rPr>
          <w:rFonts w:hint="default"/>
          <w:lang w:val="en-US" w:eastAsia="zh-CN"/>
        </w:rPr>
        <w:t>代征</w:t>
      </w:r>
      <w:r>
        <w:rPr>
          <w:rFonts w:hint="default"/>
          <w:lang w:eastAsia="zh-CN"/>
        </w:rPr>
        <w:t>道路区</w:t>
      </w:r>
      <w:r>
        <w:rPr>
          <w:rFonts w:hint="default"/>
          <w:lang w:val="en-US" w:eastAsia="zh-CN"/>
        </w:rPr>
        <w:t>，截止202</w:t>
      </w:r>
      <w:r>
        <w:rPr>
          <w:rFonts w:hint="eastAsia"/>
          <w:lang w:val="en-US" w:eastAsia="zh-CN"/>
        </w:rPr>
        <w:t>1</w:t>
      </w:r>
      <w:r>
        <w:rPr>
          <w:rFonts w:hint="default"/>
          <w:lang w:val="en-US" w:eastAsia="zh-CN"/>
        </w:rPr>
        <w:t>年</w:t>
      </w:r>
      <w:r>
        <w:rPr>
          <w:rFonts w:hint="eastAsia"/>
          <w:lang w:val="en-US" w:eastAsia="zh-CN"/>
        </w:rPr>
        <w:t>12</w:t>
      </w:r>
      <w:r>
        <w:rPr>
          <w:rFonts w:hint="default"/>
          <w:lang w:val="en-US" w:eastAsia="zh-CN"/>
        </w:rPr>
        <w:t>月底，通过现场调查及问询业主技术资料，现阶段项目区建设区已完工。详见下表4-2。</w:t>
      </w:r>
    </w:p>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表4-2  扰动土地面积  单位h</w:t>
      </w:r>
      <w:r>
        <w:rPr>
          <w:rFonts w:hint="eastAsia" w:ascii="Times New Roman" w:hAnsi="Times New Roman" w:cs="Times New Roman"/>
          <w:b/>
          <w:bCs/>
          <w:sz w:val="22"/>
          <w:szCs w:val="22"/>
          <w:lang w:val="en-US" w:eastAsia="zh-CN"/>
        </w:rPr>
        <w:t>㎡</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2"/>
        <w:gridCol w:w="2314"/>
        <w:gridCol w:w="2314"/>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防治分区</w:t>
            </w:r>
          </w:p>
        </w:tc>
        <w:tc>
          <w:tcPr>
            <w:tcW w:w="1250" w:type="pct"/>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项目总占地</w:t>
            </w:r>
          </w:p>
        </w:tc>
        <w:tc>
          <w:tcPr>
            <w:tcW w:w="1250" w:type="pct"/>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本季度</w:t>
            </w:r>
          </w:p>
        </w:tc>
        <w:tc>
          <w:tcPr>
            <w:tcW w:w="1250" w:type="pct"/>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A区</w:t>
            </w:r>
          </w:p>
        </w:tc>
        <w:tc>
          <w:tcPr>
            <w:tcW w:w="1250" w:type="pct"/>
            <w:vAlign w:val="center"/>
          </w:tcPr>
          <w:p>
            <w:pPr>
              <w:widowControl w:val="0"/>
              <w:spacing w:line="240" w:lineRule="auto"/>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w:t>
            </w:r>
          </w:p>
        </w:tc>
        <w:tc>
          <w:tcPr>
            <w:tcW w:w="1250" w:type="pct"/>
            <w:vAlign w:val="center"/>
          </w:tcPr>
          <w:p>
            <w:pPr>
              <w:widowControl w:val="0"/>
              <w:spacing w:line="240" w:lineRule="auto"/>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p>
        </w:tc>
        <w:tc>
          <w:tcPr>
            <w:tcW w:w="1250"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B区</w:t>
            </w:r>
          </w:p>
        </w:tc>
        <w:tc>
          <w:tcPr>
            <w:tcW w:w="1250" w:type="pct"/>
            <w:vAlign w:val="center"/>
          </w:tcPr>
          <w:p>
            <w:pPr>
              <w:widowControl w:val="0"/>
              <w:spacing w:line="240" w:lineRule="auto"/>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1.07</w:t>
            </w:r>
          </w:p>
        </w:tc>
        <w:tc>
          <w:tcPr>
            <w:tcW w:w="1250" w:type="pct"/>
            <w:vAlign w:val="center"/>
          </w:tcPr>
          <w:p>
            <w:pPr>
              <w:widowControl w:val="0"/>
              <w:spacing w:line="240" w:lineRule="auto"/>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p>
        </w:tc>
        <w:tc>
          <w:tcPr>
            <w:tcW w:w="1250"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C区</w:t>
            </w:r>
          </w:p>
        </w:tc>
        <w:tc>
          <w:tcPr>
            <w:tcW w:w="1250" w:type="pct"/>
            <w:vAlign w:val="center"/>
          </w:tcPr>
          <w:p>
            <w:pPr>
              <w:widowControl w:val="0"/>
              <w:spacing w:line="240" w:lineRule="auto"/>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2.32</w:t>
            </w:r>
          </w:p>
        </w:tc>
        <w:tc>
          <w:tcPr>
            <w:tcW w:w="1250"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p>
        </w:tc>
        <w:tc>
          <w:tcPr>
            <w:tcW w:w="1250"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临时堆土区</w:t>
            </w:r>
          </w:p>
        </w:tc>
        <w:tc>
          <w:tcPr>
            <w:tcW w:w="1250" w:type="pct"/>
            <w:vAlign w:val="center"/>
          </w:tcPr>
          <w:p>
            <w:pPr>
              <w:widowControl w:val="0"/>
              <w:spacing w:line="240" w:lineRule="auto"/>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3.25</w:t>
            </w:r>
          </w:p>
        </w:tc>
        <w:tc>
          <w:tcPr>
            <w:tcW w:w="1250"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p>
        </w:tc>
        <w:tc>
          <w:tcPr>
            <w:tcW w:w="1250"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合计</w:t>
            </w:r>
          </w:p>
        </w:tc>
        <w:tc>
          <w:tcPr>
            <w:tcW w:w="1250" w:type="pct"/>
            <w:vAlign w:val="center"/>
          </w:tcPr>
          <w:p>
            <w:pPr>
              <w:widowControl w:val="0"/>
              <w:spacing w:line="240" w:lineRule="auto"/>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8.09</w:t>
            </w:r>
          </w:p>
        </w:tc>
        <w:tc>
          <w:tcPr>
            <w:tcW w:w="1250"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p>
        </w:tc>
        <w:tc>
          <w:tcPr>
            <w:tcW w:w="1250" w:type="pct"/>
            <w:vAlign w:val="center"/>
          </w:tcPr>
          <w:p>
            <w:pPr>
              <w:widowControl w:val="0"/>
              <w:spacing w:line="240" w:lineRule="auto"/>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8.09</w:t>
            </w:r>
          </w:p>
        </w:tc>
      </w:tr>
    </w:tbl>
    <w:p>
      <w:pPr>
        <w:bidi w:val="0"/>
        <w:rPr>
          <w:rFonts w:hint="default" w:ascii="Times New Roman" w:hAnsi="Times New Roman" w:eastAsia="宋体" w:cs="Times New Roman"/>
          <w:color w:val="auto"/>
          <w:spacing w:val="0"/>
          <w:kern w:val="2"/>
          <w:szCs w:val="24"/>
          <w:lang w:val="en-US" w:eastAsia="zh-CN"/>
        </w:rPr>
      </w:pPr>
      <w:r>
        <w:rPr>
          <w:rFonts w:hint="default"/>
          <w:lang w:val="en-US" w:eastAsia="zh-CN"/>
        </w:rPr>
        <w:t>现阶段共扰动土地面积为</w:t>
      </w:r>
      <w:r>
        <w:rPr>
          <w:rFonts w:hint="eastAsia"/>
          <w:lang w:val="en-US" w:eastAsia="zh-CN"/>
        </w:rPr>
        <w:t>8.09</w:t>
      </w:r>
      <w:r>
        <w:rPr>
          <w:rFonts w:hint="default"/>
          <w:lang w:val="en-US" w:eastAsia="zh-CN"/>
        </w:rPr>
        <w:t>h</w:t>
      </w:r>
      <w:r>
        <w:rPr>
          <w:rFonts w:hint="eastAsia"/>
          <w:lang w:val="en-US" w:eastAsia="zh-CN"/>
        </w:rPr>
        <w:t>㎡</w:t>
      </w:r>
      <w:r>
        <w:rPr>
          <w:rFonts w:hint="default"/>
          <w:lang w:val="en-US" w:eastAsia="zh-CN"/>
        </w:rPr>
        <w:t>，其中建筑区</w:t>
      </w:r>
      <w:r>
        <w:rPr>
          <w:rFonts w:hint="eastAsia"/>
          <w:lang w:val="en-US" w:eastAsia="zh-CN"/>
        </w:rPr>
        <w:t>4.84㎡</w:t>
      </w:r>
      <w:r>
        <w:rPr>
          <w:rFonts w:hint="default"/>
          <w:lang w:eastAsia="zh-CN"/>
        </w:rPr>
        <w:t>、</w:t>
      </w:r>
      <w:r>
        <w:rPr>
          <w:rFonts w:hint="eastAsia"/>
          <w:lang w:val="en-US" w:eastAsia="zh-CN"/>
        </w:rPr>
        <w:t>临时堆土区3.25㎡</w:t>
      </w:r>
      <w:r>
        <w:rPr>
          <w:rFonts w:hint="default"/>
          <w:lang w:val="en-US" w:eastAsia="zh-CN"/>
        </w:rPr>
        <w:t>。</w:t>
      </w:r>
    </w:p>
    <w:p>
      <w:pPr>
        <w:pStyle w:val="5"/>
        <w:bidi w:val="0"/>
        <w:rPr>
          <w:rFonts w:hint="default"/>
          <w:lang w:val="en-US" w:eastAsia="zh-CN"/>
        </w:rPr>
      </w:pPr>
      <w:r>
        <w:rPr>
          <w:rFonts w:hint="default"/>
          <w:lang w:val="en-US" w:eastAsia="zh-CN"/>
        </w:rPr>
        <w:t>4.1.3水土流失量监测</w:t>
      </w:r>
    </w:p>
    <w:p>
      <w:pPr>
        <w:bidi w:val="0"/>
        <w:rPr>
          <w:rFonts w:hint="default" w:ascii="Times New Roman" w:hAnsi="Times New Roman" w:cs="Times New Roman"/>
          <w:lang w:val="en-US" w:eastAsia="zh-CN"/>
        </w:rPr>
      </w:pPr>
      <w:r>
        <w:rPr>
          <w:rFonts w:hint="default" w:ascii="Times New Roman" w:hAnsi="Times New Roman" w:eastAsia="宋体" w:cs="Times New Roman"/>
          <w:color w:val="auto"/>
          <w:spacing w:val="0"/>
          <w:kern w:val="2"/>
          <w:sz w:val="24"/>
          <w:szCs w:val="24"/>
          <w:lang w:val="en-US" w:eastAsia="zh-CN"/>
        </w:rPr>
        <w:t xml:space="preserve">  根据项目区监测资料计算后，本季度水土流失总量为</w:t>
      </w:r>
      <w:r>
        <w:rPr>
          <w:rFonts w:hint="eastAsia" w:cs="Times New Roman"/>
          <w:color w:val="auto"/>
          <w:spacing w:val="0"/>
          <w:kern w:val="2"/>
          <w:sz w:val="24"/>
          <w:szCs w:val="24"/>
          <w:lang w:val="en-US" w:eastAsia="zh-CN"/>
        </w:rPr>
        <w:t>24.27</w:t>
      </w:r>
      <w:r>
        <w:rPr>
          <w:rFonts w:hint="default" w:ascii="Times New Roman" w:hAnsi="Times New Roman" w:eastAsia="宋体" w:cs="Times New Roman"/>
          <w:color w:val="auto"/>
          <w:spacing w:val="0"/>
          <w:kern w:val="2"/>
          <w:sz w:val="24"/>
          <w:szCs w:val="24"/>
          <w:lang w:val="en-US" w:eastAsia="zh-CN"/>
        </w:rPr>
        <w:t>t，本监测时段内，土壤侵蚀模数约为</w:t>
      </w:r>
      <w:r>
        <w:rPr>
          <w:rFonts w:hint="default" w:ascii="Times New Roman" w:hAnsi="Times New Roman" w:cs="Times New Roman"/>
          <w:color w:val="auto"/>
          <w:spacing w:val="0"/>
          <w:kern w:val="2"/>
          <w:sz w:val="24"/>
          <w:szCs w:val="24"/>
          <w:lang w:val="en-US" w:eastAsia="zh-CN"/>
        </w:rPr>
        <w:t>1</w:t>
      </w:r>
      <w:r>
        <w:rPr>
          <w:rFonts w:hint="eastAsia" w:ascii="Times New Roman" w:hAnsi="Times New Roman" w:cs="Times New Roman"/>
          <w:color w:val="auto"/>
          <w:spacing w:val="0"/>
          <w:kern w:val="2"/>
          <w:sz w:val="24"/>
          <w:szCs w:val="24"/>
          <w:lang w:val="en-US" w:eastAsia="zh-CN"/>
        </w:rPr>
        <w:t>2</w:t>
      </w:r>
      <w:r>
        <w:rPr>
          <w:rFonts w:hint="default" w:ascii="Times New Roman" w:hAnsi="Times New Roman" w:eastAsia="宋体" w:cs="Times New Roman"/>
          <w:color w:val="auto"/>
          <w:spacing w:val="0"/>
          <w:kern w:val="2"/>
          <w:sz w:val="24"/>
          <w:szCs w:val="24"/>
          <w:lang w:val="en-US" w:eastAsia="zh-CN"/>
        </w:rPr>
        <w:t>00t/k</w:t>
      </w:r>
      <w:r>
        <w:rPr>
          <w:rFonts w:hint="eastAsia" w:ascii="Times New Roman" w:hAnsi="Times New Roman" w:eastAsia="宋体" w:cs="Times New Roman"/>
          <w:color w:val="auto"/>
          <w:spacing w:val="0"/>
          <w:kern w:val="2"/>
          <w:sz w:val="24"/>
          <w:szCs w:val="24"/>
          <w:lang w:val="en-US" w:eastAsia="zh-CN"/>
        </w:rPr>
        <w:t>㎡</w:t>
      </w:r>
      <w:r>
        <w:rPr>
          <w:rFonts w:hint="default" w:ascii="Times New Roman" w:hAnsi="Times New Roman" w:eastAsia="宋体" w:cs="Times New Roman"/>
          <w:color w:val="auto"/>
          <w:spacing w:val="0"/>
          <w:kern w:val="2"/>
          <w:sz w:val="24"/>
          <w:szCs w:val="24"/>
          <w:lang w:val="en-US" w:eastAsia="zh-CN"/>
        </w:rPr>
        <w:t>·a，侵蚀时间为一个季度即0.2</w:t>
      </w:r>
      <w:r>
        <w:rPr>
          <w:rFonts w:hint="eastAsia" w:cs="Times New Roman"/>
          <w:color w:val="auto"/>
          <w:spacing w:val="0"/>
          <w:kern w:val="2"/>
          <w:sz w:val="24"/>
          <w:szCs w:val="24"/>
          <w:lang w:val="en-US" w:eastAsia="zh-CN"/>
        </w:rPr>
        <w:t>5</w:t>
      </w:r>
      <w:r>
        <w:rPr>
          <w:rFonts w:hint="default" w:ascii="Times New Roman" w:hAnsi="Times New Roman" w:eastAsia="宋体" w:cs="Times New Roman"/>
          <w:color w:val="auto"/>
          <w:spacing w:val="0"/>
          <w:kern w:val="2"/>
          <w:sz w:val="24"/>
          <w:szCs w:val="24"/>
          <w:lang w:val="en-US" w:eastAsia="zh-CN"/>
        </w:rPr>
        <w:t>年，各区域水土流失量见下表4-3</w:t>
      </w:r>
      <w:r>
        <w:rPr>
          <w:rFonts w:hint="default" w:ascii="Times New Roman" w:hAnsi="Times New Roman" w:cs="Times New Roman"/>
          <w:color w:val="auto"/>
          <w:spacing w:val="0"/>
          <w:kern w:val="2"/>
          <w:sz w:val="24"/>
          <w:szCs w:val="24"/>
          <w:lang w:val="en-US" w:eastAsia="zh-CN"/>
        </w:rPr>
        <w:t>。</w:t>
      </w:r>
    </w:p>
    <w:p>
      <w:pPr>
        <w:jc w:val="center"/>
        <w:outlineLvl w:val="9"/>
        <w:rPr>
          <w:rFonts w:hint="default" w:ascii="Times New Roman" w:hAnsi="Times New Roman" w:cs="Times New Roman"/>
          <w:b/>
          <w:bCs/>
          <w:sz w:val="24"/>
          <w:szCs w:val="22"/>
          <w:lang w:val="en-US" w:eastAsia="zh-CN"/>
        </w:rPr>
      </w:pPr>
      <w:r>
        <w:rPr>
          <w:rFonts w:hint="default" w:ascii="Times New Roman" w:hAnsi="Times New Roman" w:cs="Times New Roman"/>
          <w:b/>
          <w:bCs/>
          <w:sz w:val="24"/>
          <w:szCs w:val="22"/>
          <w:lang w:val="en-US" w:eastAsia="zh-CN"/>
        </w:rPr>
        <w:t>表4-3  20</w:t>
      </w:r>
      <w:r>
        <w:rPr>
          <w:rFonts w:hint="eastAsia" w:cs="Times New Roman"/>
          <w:b/>
          <w:bCs/>
          <w:sz w:val="24"/>
          <w:szCs w:val="22"/>
          <w:lang w:val="en-US" w:eastAsia="zh-CN"/>
        </w:rPr>
        <w:t>21</w:t>
      </w:r>
      <w:r>
        <w:rPr>
          <w:rFonts w:hint="default" w:ascii="Times New Roman" w:hAnsi="Times New Roman" w:cs="Times New Roman"/>
          <w:b/>
          <w:bCs/>
          <w:sz w:val="24"/>
          <w:szCs w:val="22"/>
          <w:lang w:val="en-US" w:eastAsia="zh-CN"/>
        </w:rPr>
        <w:t>年第</w:t>
      </w:r>
      <w:r>
        <w:rPr>
          <w:rFonts w:hint="eastAsia" w:cs="Times New Roman"/>
          <w:b/>
          <w:bCs/>
          <w:sz w:val="24"/>
          <w:szCs w:val="22"/>
          <w:lang w:val="en-US" w:eastAsia="zh-CN"/>
        </w:rPr>
        <w:t>四</w:t>
      </w:r>
      <w:r>
        <w:rPr>
          <w:rFonts w:hint="default" w:ascii="Times New Roman" w:hAnsi="Times New Roman" w:cs="Times New Roman"/>
          <w:b/>
          <w:bCs/>
          <w:sz w:val="24"/>
          <w:szCs w:val="22"/>
          <w:lang w:val="en-US" w:eastAsia="zh-CN"/>
        </w:rPr>
        <w:t>季度水土流失总量表   单位：t</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7"/>
        <w:gridCol w:w="1851"/>
        <w:gridCol w:w="1852"/>
        <w:gridCol w:w="1852"/>
        <w:gridCol w:w="1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防治分区</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水土流失面积</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侵蚀时间</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侵蚀模数</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流失量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建筑区</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4.84</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0.25</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1200</w:t>
            </w:r>
          </w:p>
        </w:tc>
        <w:tc>
          <w:tcPr>
            <w:tcW w:w="100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top"/>
              <w:rPr>
                <w:rFonts w:hint="default" w:ascii="仿宋" w:hAnsi="仿宋" w:eastAsia="仿宋" w:cs="仿宋"/>
                <w:sz w:val="21"/>
                <w:szCs w:val="21"/>
                <w:vertAlign w:val="baseline"/>
                <w:lang w:val="en-US" w:eastAsia="zh-CN"/>
              </w:rPr>
            </w:pPr>
            <w:r>
              <w:rPr>
                <w:rFonts w:hint="eastAsia" w:ascii="仿宋" w:hAnsi="仿宋" w:eastAsia="仿宋" w:cs="仿宋"/>
                <w:i w:val="0"/>
                <w:iCs w:val="0"/>
                <w:color w:val="000000"/>
                <w:kern w:val="0"/>
                <w:sz w:val="21"/>
                <w:szCs w:val="21"/>
                <w:u w:val="none"/>
                <w:lang w:val="en-US" w:eastAsia="zh-CN" w:bidi="ar"/>
              </w:rPr>
              <w:t>14.52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99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临时堆土区</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3.25</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0.25</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1200</w:t>
            </w:r>
          </w:p>
        </w:tc>
        <w:tc>
          <w:tcPr>
            <w:tcW w:w="100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top"/>
              <w:rPr>
                <w:rFonts w:hint="default" w:ascii="仿宋" w:hAnsi="仿宋" w:eastAsia="仿宋" w:cs="仿宋"/>
                <w:sz w:val="21"/>
                <w:szCs w:val="21"/>
                <w:vertAlign w:val="baseline"/>
                <w:lang w:val="en-US" w:eastAsia="zh-CN"/>
              </w:rPr>
            </w:pPr>
            <w:r>
              <w:rPr>
                <w:rFonts w:hint="eastAsia" w:ascii="仿宋" w:hAnsi="仿宋" w:eastAsia="仿宋" w:cs="仿宋"/>
                <w:i w:val="0"/>
                <w:iCs w:val="0"/>
                <w:color w:val="000000"/>
                <w:kern w:val="0"/>
                <w:sz w:val="21"/>
                <w:szCs w:val="21"/>
                <w:u w:val="none"/>
                <w:lang w:val="en-US" w:eastAsia="zh-CN" w:bidi="ar"/>
              </w:rPr>
              <w:t>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eastAsia" w:ascii="仿宋" w:hAnsi="仿宋" w:eastAsia="仿宋" w:cs="仿宋"/>
                <w:sz w:val="21"/>
                <w:szCs w:val="21"/>
                <w:vertAlign w:val="baseline"/>
                <w:lang w:val="en-US" w:eastAsia="zh-CN"/>
              </w:rPr>
            </w:pPr>
            <w:bookmarkStart w:id="54" w:name="_Toc31075"/>
            <w:r>
              <w:rPr>
                <w:rFonts w:hint="eastAsia" w:ascii="仿宋" w:hAnsi="仿宋" w:eastAsia="仿宋" w:cs="仿宋"/>
                <w:sz w:val="21"/>
                <w:szCs w:val="21"/>
                <w:vertAlign w:val="baseline"/>
                <w:lang w:val="en-US" w:eastAsia="zh-CN"/>
              </w:rPr>
              <w:t>合计</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8.09</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0.20</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outlineLvl w:val="9"/>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1200</w:t>
            </w:r>
          </w:p>
        </w:tc>
        <w:tc>
          <w:tcPr>
            <w:tcW w:w="100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top"/>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24.27</w:t>
            </w:r>
          </w:p>
        </w:tc>
      </w:tr>
    </w:tbl>
    <w:p>
      <w:pPr>
        <w:pStyle w:val="4"/>
        <w:bidi w:val="0"/>
        <w:rPr>
          <w:rFonts w:hint="default"/>
          <w:lang w:val="en-US" w:eastAsia="zh-CN"/>
        </w:rPr>
      </w:pPr>
      <w:r>
        <w:rPr>
          <w:rFonts w:hint="default"/>
          <w:lang w:val="en-US" w:eastAsia="zh-CN"/>
        </w:rPr>
        <w:t>4.2水土流失防治效果监测结果与分析</w:t>
      </w:r>
      <w:bookmarkEnd w:id="54"/>
    </w:p>
    <w:p>
      <w:pPr>
        <w:pStyle w:val="5"/>
        <w:bidi w:val="0"/>
        <w:rPr>
          <w:rFonts w:hint="default"/>
          <w:lang w:val="en-US" w:eastAsia="zh-CN"/>
        </w:rPr>
      </w:pPr>
      <w:r>
        <w:rPr>
          <w:rFonts w:hint="default"/>
          <w:lang w:val="en-US" w:eastAsia="zh-CN"/>
        </w:rPr>
        <w:t>4.2.1水土保持措施量及运行情况</w:t>
      </w:r>
    </w:p>
    <w:p>
      <w:pPr>
        <w:bidi w:val="0"/>
        <w:rPr>
          <w:rFonts w:hint="default"/>
          <w:lang w:val="en-US" w:eastAsia="zh-CN"/>
        </w:rPr>
      </w:pPr>
      <w:r>
        <w:rPr>
          <w:rFonts w:hint="default"/>
          <w:lang w:val="en-US" w:eastAsia="zh-CN"/>
        </w:rPr>
        <w:t>截止2</w:t>
      </w:r>
      <w:r>
        <w:rPr>
          <w:rFonts w:hint="eastAsia"/>
          <w:lang w:val="en-US" w:eastAsia="zh-CN"/>
        </w:rPr>
        <w:t>021</w:t>
      </w:r>
      <w:r>
        <w:rPr>
          <w:rFonts w:hint="default"/>
          <w:lang w:val="en-US" w:eastAsia="zh-CN"/>
        </w:rPr>
        <w:t>年</w:t>
      </w:r>
      <w:r>
        <w:rPr>
          <w:rFonts w:hint="eastAsia"/>
          <w:lang w:val="en-US" w:eastAsia="zh-CN"/>
        </w:rPr>
        <w:t>12</w:t>
      </w:r>
      <w:r>
        <w:rPr>
          <w:rFonts w:hint="default"/>
          <w:lang w:val="en-US" w:eastAsia="zh-CN"/>
        </w:rPr>
        <w:t>月底，项目总体实施了以下配套措施：</w:t>
      </w:r>
      <w:r>
        <w:rPr>
          <w:rFonts w:hint="eastAsia"/>
          <w:lang w:val="en-US" w:eastAsia="zh-CN"/>
        </w:rPr>
        <w:t>排水管网16832m，编织袋土拦挡1655m</w:t>
      </w:r>
      <w:r>
        <w:rPr>
          <w:rFonts w:hint="eastAsia"/>
          <w:vertAlign w:val="superscript"/>
          <w:lang w:val="en-US" w:eastAsia="zh-CN"/>
        </w:rPr>
        <w:t>3</w:t>
      </w:r>
      <w:r>
        <w:rPr>
          <w:rFonts w:hint="eastAsia"/>
          <w:lang w:val="en-US" w:eastAsia="zh-CN"/>
        </w:rPr>
        <w:t>，挡土板828块临时覆盖32316m</w:t>
      </w:r>
      <w:r>
        <w:rPr>
          <w:rFonts w:hint="eastAsia"/>
          <w:vertAlign w:val="superscript"/>
          <w:lang w:val="en-US" w:eastAsia="zh-CN"/>
        </w:rPr>
        <w:t>2</w:t>
      </w:r>
      <w:r>
        <w:rPr>
          <w:rFonts w:hint="eastAsia"/>
          <w:lang w:val="en-US" w:eastAsia="zh-CN"/>
        </w:rPr>
        <w:t>，临时排水沟2290m，临时沉砂池24个。</w:t>
      </w:r>
    </w:p>
    <w:p>
      <w:pPr>
        <w:jc w:val="center"/>
        <w:outlineLvl w:val="9"/>
        <w:rPr>
          <w:rFonts w:hint="default" w:ascii="Times New Roman" w:hAnsi="Times New Roman" w:cs="Times New Roman"/>
          <w:lang w:val="en-US" w:eastAsia="zh-CN"/>
        </w:rPr>
      </w:pPr>
      <w:r>
        <w:rPr>
          <w:rFonts w:hint="default" w:ascii="Times New Roman" w:hAnsi="Times New Roman" w:cs="Times New Roman"/>
          <w:b/>
          <w:bCs/>
          <w:sz w:val="24"/>
          <w:szCs w:val="22"/>
          <w:lang w:val="en-US" w:eastAsia="zh-CN"/>
        </w:rPr>
        <w:t>表4-4  水土保持措施进度表   单位：t</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1589"/>
        <w:gridCol w:w="2106"/>
        <w:gridCol w:w="1624"/>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26" w:type="pct"/>
            <w:vMerge w:val="restart"/>
            <w:vAlign w:val="center"/>
          </w:tcPr>
          <w:p>
            <w:pPr>
              <w:widowControl w:val="0"/>
              <w:spacing w:line="240" w:lineRule="auto"/>
              <w:ind w:left="0" w:leftChars="0" w:firstLine="0" w:firstLineChars="0"/>
              <w:jc w:val="both"/>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水土保持工程进度</w:t>
            </w:r>
          </w:p>
        </w:tc>
        <w:tc>
          <w:tcPr>
            <w:tcW w:w="858" w:type="pct"/>
            <w:vAlign w:val="center"/>
          </w:tcPr>
          <w:p>
            <w:pPr>
              <w:widowControl w:val="0"/>
              <w:spacing w:line="240" w:lineRule="auto"/>
              <w:ind w:left="0" w:leftChars="0" w:firstLine="0" w:firstLineChars="0"/>
              <w:jc w:val="both"/>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工程措施</w:t>
            </w:r>
          </w:p>
        </w:tc>
        <w:tc>
          <w:tcPr>
            <w:tcW w:w="1137"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排水管网</w:t>
            </w:r>
          </w:p>
        </w:tc>
        <w:tc>
          <w:tcPr>
            <w:tcW w:w="877"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m</w:t>
            </w:r>
          </w:p>
        </w:tc>
        <w:tc>
          <w:tcPr>
            <w:tcW w:w="1099" w:type="pct"/>
            <w:vAlign w:val="center"/>
          </w:tcPr>
          <w:p>
            <w:pPr>
              <w:widowControl w:val="0"/>
              <w:spacing w:line="240" w:lineRule="auto"/>
              <w:jc w:val="center"/>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16832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26" w:type="pct"/>
            <w:vMerge w:val="continue"/>
            <w:vAlign w:val="center"/>
          </w:tcPr>
          <w:p>
            <w:pPr>
              <w:widowControl w:val="0"/>
              <w:spacing w:line="240" w:lineRule="auto"/>
              <w:jc w:val="center"/>
              <w:rPr>
                <w:rFonts w:hint="eastAsia" w:ascii="仿宋" w:hAnsi="仿宋" w:eastAsia="仿宋" w:cs="仿宋"/>
                <w:bCs/>
                <w:sz w:val="21"/>
                <w:szCs w:val="21"/>
              </w:rPr>
            </w:pPr>
          </w:p>
        </w:tc>
        <w:tc>
          <w:tcPr>
            <w:tcW w:w="858" w:type="pct"/>
            <w:vAlign w:val="center"/>
          </w:tcPr>
          <w:p>
            <w:pPr>
              <w:widowControl w:val="0"/>
              <w:spacing w:line="240" w:lineRule="auto"/>
              <w:ind w:left="0" w:leftChars="0" w:firstLine="0" w:firstLineChars="0"/>
              <w:jc w:val="both"/>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植物措施</w:t>
            </w:r>
          </w:p>
        </w:tc>
        <w:tc>
          <w:tcPr>
            <w:tcW w:w="1137" w:type="pct"/>
            <w:vAlign w:val="center"/>
          </w:tcPr>
          <w:p>
            <w:pPr>
              <w:widowControl w:val="0"/>
              <w:spacing w:line="240" w:lineRule="auto"/>
              <w:ind w:left="0" w:leftChars="0" w:firstLine="0" w:firstLineChars="0"/>
              <w:jc w:val="both"/>
              <w:rPr>
                <w:rFonts w:hint="eastAsia"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w:t>
            </w:r>
          </w:p>
        </w:tc>
        <w:tc>
          <w:tcPr>
            <w:tcW w:w="877" w:type="pct"/>
            <w:vAlign w:val="center"/>
          </w:tcPr>
          <w:p>
            <w:pPr>
              <w:widowControl w:val="0"/>
              <w:spacing w:line="240" w:lineRule="auto"/>
              <w:ind w:left="0" w:leftChars="0" w:firstLine="0" w:firstLineChars="0"/>
              <w:jc w:val="both"/>
              <w:rPr>
                <w:rFonts w:hint="eastAsia" w:ascii="仿宋" w:hAnsi="仿宋" w:eastAsia="仿宋" w:cs="仿宋"/>
                <w:bCs/>
                <w:sz w:val="21"/>
                <w:szCs w:val="21"/>
                <w:lang w:val="en-US" w:eastAsia="zh-CN" w:bidi="ar-SA"/>
              </w:rPr>
            </w:pPr>
            <w:r>
              <w:rPr>
                <w:rFonts w:hint="eastAsia" w:ascii="仿宋" w:hAnsi="仿宋" w:eastAsia="仿宋" w:cs="仿宋"/>
                <w:color w:val="auto"/>
                <w:sz w:val="21"/>
                <w:szCs w:val="21"/>
                <w:lang w:val="en-US" w:eastAsia="zh-CN"/>
              </w:rPr>
              <w:t>/</w:t>
            </w:r>
          </w:p>
        </w:tc>
        <w:tc>
          <w:tcPr>
            <w:tcW w:w="1099" w:type="pct"/>
            <w:vAlign w:val="center"/>
          </w:tcPr>
          <w:p>
            <w:pPr>
              <w:widowControl w:val="0"/>
              <w:spacing w:line="240" w:lineRule="auto"/>
              <w:ind w:left="0" w:leftChars="0" w:firstLine="0" w:firstLineChars="0"/>
              <w:jc w:val="both"/>
              <w:rPr>
                <w:rFonts w:hint="eastAsia"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26" w:type="pct"/>
            <w:vMerge w:val="continue"/>
            <w:vAlign w:val="center"/>
          </w:tcPr>
          <w:p>
            <w:pPr>
              <w:widowControl w:val="0"/>
              <w:spacing w:line="240" w:lineRule="auto"/>
              <w:jc w:val="center"/>
              <w:rPr>
                <w:rFonts w:hint="eastAsia" w:ascii="仿宋" w:hAnsi="仿宋" w:eastAsia="仿宋" w:cs="仿宋"/>
                <w:bCs/>
                <w:sz w:val="21"/>
                <w:szCs w:val="21"/>
              </w:rPr>
            </w:pPr>
          </w:p>
        </w:tc>
        <w:tc>
          <w:tcPr>
            <w:tcW w:w="858" w:type="pct"/>
            <w:vMerge w:val="restart"/>
            <w:vAlign w:val="center"/>
          </w:tcPr>
          <w:p>
            <w:pPr>
              <w:widowControl w:val="0"/>
              <w:spacing w:line="240" w:lineRule="auto"/>
              <w:ind w:left="0" w:leftChars="0" w:firstLine="0" w:firstLineChars="0"/>
              <w:jc w:val="both"/>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临时措施</w:t>
            </w:r>
          </w:p>
        </w:tc>
        <w:tc>
          <w:tcPr>
            <w:tcW w:w="1137"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编织袋土拦挡</w:t>
            </w:r>
          </w:p>
        </w:tc>
        <w:tc>
          <w:tcPr>
            <w:tcW w:w="877" w:type="pct"/>
            <w:vAlign w:val="center"/>
          </w:tcPr>
          <w:p>
            <w:pPr>
              <w:widowControl w:val="0"/>
              <w:spacing w:line="240" w:lineRule="auto"/>
              <w:ind w:left="0" w:leftChars="0" w:firstLine="0" w:firstLineChars="0"/>
              <w:jc w:val="both"/>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m3</w:t>
            </w:r>
          </w:p>
        </w:tc>
        <w:tc>
          <w:tcPr>
            <w:tcW w:w="1099"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1655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26" w:type="pct"/>
            <w:vMerge w:val="continue"/>
            <w:vAlign w:val="center"/>
          </w:tcPr>
          <w:p>
            <w:pPr>
              <w:widowControl w:val="0"/>
              <w:spacing w:line="240" w:lineRule="auto"/>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表土剥离</w:t>
            </w:r>
          </w:p>
        </w:tc>
        <w:tc>
          <w:tcPr>
            <w:tcW w:w="858" w:type="pct"/>
            <w:vMerge w:val="continue"/>
            <w:vAlign w:val="center"/>
          </w:tcPr>
          <w:p>
            <w:pPr>
              <w:widowControl w:val="0"/>
              <w:spacing w:line="240" w:lineRule="auto"/>
              <w:jc w:val="center"/>
              <w:rPr>
                <w:rFonts w:hint="eastAsia" w:ascii="仿宋" w:hAnsi="仿宋" w:eastAsia="仿宋" w:cs="仿宋"/>
                <w:bCs/>
                <w:sz w:val="21"/>
                <w:szCs w:val="21"/>
                <w:lang w:val="en-US" w:eastAsia="zh-CN"/>
              </w:rPr>
            </w:pPr>
          </w:p>
        </w:tc>
        <w:tc>
          <w:tcPr>
            <w:tcW w:w="1137"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挡土板</w:t>
            </w:r>
          </w:p>
        </w:tc>
        <w:tc>
          <w:tcPr>
            <w:tcW w:w="877" w:type="pct"/>
            <w:vAlign w:val="center"/>
          </w:tcPr>
          <w:p>
            <w:pPr>
              <w:widowControl w:val="0"/>
              <w:spacing w:line="240" w:lineRule="auto"/>
              <w:ind w:left="0" w:leftChars="0" w:firstLine="0" w:firstLineChars="0"/>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块</w:t>
            </w:r>
          </w:p>
        </w:tc>
        <w:tc>
          <w:tcPr>
            <w:tcW w:w="1099"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26" w:type="pct"/>
            <w:vMerge w:val="continue"/>
            <w:vAlign w:val="center"/>
          </w:tcPr>
          <w:p>
            <w:pPr>
              <w:widowControl w:val="0"/>
              <w:spacing w:line="240" w:lineRule="auto"/>
              <w:jc w:val="center"/>
              <w:rPr>
                <w:rFonts w:hint="eastAsia" w:ascii="仿宋" w:hAnsi="仿宋" w:eastAsia="仿宋" w:cs="仿宋"/>
                <w:bCs/>
                <w:sz w:val="21"/>
                <w:szCs w:val="21"/>
              </w:rPr>
            </w:pPr>
          </w:p>
        </w:tc>
        <w:tc>
          <w:tcPr>
            <w:tcW w:w="858" w:type="pct"/>
            <w:vMerge w:val="continue"/>
            <w:vAlign w:val="center"/>
          </w:tcPr>
          <w:p>
            <w:pPr>
              <w:widowControl w:val="0"/>
              <w:spacing w:line="240" w:lineRule="auto"/>
              <w:jc w:val="center"/>
              <w:rPr>
                <w:rFonts w:hint="eastAsia" w:ascii="仿宋" w:hAnsi="仿宋" w:eastAsia="仿宋" w:cs="仿宋"/>
                <w:bCs/>
                <w:sz w:val="21"/>
                <w:szCs w:val="21"/>
                <w:lang w:val="en-US" w:eastAsia="zh-CN"/>
              </w:rPr>
            </w:pPr>
          </w:p>
        </w:tc>
        <w:tc>
          <w:tcPr>
            <w:tcW w:w="1137" w:type="pct"/>
            <w:vAlign w:val="center"/>
          </w:tcPr>
          <w:p>
            <w:pPr>
              <w:widowControl w:val="0"/>
              <w:spacing w:line="240" w:lineRule="auto"/>
              <w:ind w:left="0" w:leftChars="0" w:firstLine="0" w:firstLineChars="0"/>
              <w:jc w:val="both"/>
              <w:rPr>
                <w:rFonts w:hint="eastAsia" w:ascii="仿宋" w:hAnsi="仿宋" w:eastAsia="仿宋" w:cs="仿宋"/>
                <w:bCs/>
                <w:kern w:val="2"/>
                <w:sz w:val="21"/>
                <w:szCs w:val="21"/>
                <w:lang w:val="en-US" w:eastAsia="zh-CN" w:bidi="ar-SA"/>
              </w:rPr>
            </w:pPr>
            <w:r>
              <w:rPr>
                <w:rFonts w:hint="eastAsia" w:ascii="仿宋" w:hAnsi="仿宋" w:eastAsia="仿宋" w:cs="仿宋"/>
                <w:bCs/>
                <w:sz w:val="21"/>
                <w:szCs w:val="21"/>
                <w:lang w:val="en-US" w:eastAsia="zh-CN" w:bidi="ar-SA"/>
              </w:rPr>
              <w:t>临时覆盖</w:t>
            </w:r>
          </w:p>
        </w:tc>
        <w:tc>
          <w:tcPr>
            <w:tcW w:w="877" w:type="pct"/>
            <w:vAlign w:val="center"/>
          </w:tcPr>
          <w:p>
            <w:pPr>
              <w:widowControl w:val="0"/>
              <w:spacing w:line="240" w:lineRule="auto"/>
              <w:ind w:left="0" w:leftChars="0" w:firstLine="0" w:firstLineChars="0"/>
              <w:jc w:val="both"/>
              <w:rPr>
                <w:rFonts w:hint="default" w:ascii="仿宋" w:hAnsi="仿宋" w:eastAsia="仿宋" w:cs="仿宋"/>
                <w:bCs/>
                <w:kern w:val="2"/>
                <w:sz w:val="21"/>
                <w:szCs w:val="21"/>
                <w:lang w:val="en-US" w:eastAsia="zh-CN" w:bidi="ar-SA"/>
              </w:rPr>
            </w:pPr>
            <w:r>
              <w:rPr>
                <w:rFonts w:hint="eastAsia" w:ascii="仿宋" w:hAnsi="仿宋" w:eastAsia="仿宋" w:cs="仿宋"/>
                <w:bCs/>
                <w:kern w:val="2"/>
                <w:sz w:val="21"/>
                <w:szCs w:val="21"/>
                <w:lang w:val="en-US" w:eastAsia="zh-CN" w:bidi="ar-SA"/>
              </w:rPr>
              <w:t>m2</w:t>
            </w:r>
          </w:p>
        </w:tc>
        <w:tc>
          <w:tcPr>
            <w:tcW w:w="1099"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32316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026" w:type="pct"/>
            <w:vMerge w:val="continue"/>
            <w:vAlign w:val="center"/>
          </w:tcPr>
          <w:p>
            <w:pPr>
              <w:widowControl w:val="0"/>
              <w:spacing w:line="240" w:lineRule="auto"/>
              <w:jc w:val="center"/>
              <w:rPr>
                <w:rFonts w:hint="eastAsia" w:ascii="仿宋" w:hAnsi="仿宋" w:eastAsia="仿宋" w:cs="仿宋"/>
                <w:bCs/>
                <w:sz w:val="21"/>
                <w:szCs w:val="21"/>
              </w:rPr>
            </w:pPr>
          </w:p>
        </w:tc>
        <w:tc>
          <w:tcPr>
            <w:tcW w:w="858" w:type="pct"/>
            <w:vMerge w:val="continue"/>
            <w:vAlign w:val="center"/>
          </w:tcPr>
          <w:p>
            <w:pPr>
              <w:widowControl w:val="0"/>
              <w:spacing w:line="240" w:lineRule="auto"/>
              <w:jc w:val="center"/>
              <w:rPr>
                <w:rFonts w:hint="eastAsia" w:ascii="仿宋" w:hAnsi="仿宋" w:eastAsia="仿宋" w:cs="仿宋"/>
                <w:bCs/>
                <w:sz w:val="21"/>
                <w:szCs w:val="21"/>
              </w:rPr>
            </w:pPr>
          </w:p>
        </w:tc>
        <w:tc>
          <w:tcPr>
            <w:tcW w:w="1137" w:type="pct"/>
            <w:vAlign w:val="center"/>
          </w:tcPr>
          <w:p>
            <w:pPr>
              <w:widowControl w:val="0"/>
              <w:spacing w:line="240" w:lineRule="auto"/>
              <w:ind w:left="0" w:leftChars="0" w:firstLine="0" w:firstLineChars="0"/>
              <w:jc w:val="both"/>
              <w:rPr>
                <w:rFonts w:hint="eastAsia"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临时排水沟</w:t>
            </w:r>
          </w:p>
        </w:tc>
        <w:tc>
          <w:tcPr>
            <w:tcW w:w="877"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m</w:t>
            </w:r>
          </w:p>
        </w:tc>
        <w:tc>
          <w:tcPr>
            <w:tcW w:w="1099"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2290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026" w:type="pct"/>
            <w:vMerge w:val="continue"/>
            <w:vAlign w:val="center"/>
          </w:tcPr>
          <w:p>
            <w:pPr>
              <w:widowControl w:val="0"/>
              <w:spacing w:line="240" w:lineRule="auto"/>
              <w:ind w:left="0" w:leftChars="0" w:firstLine="0" w:firstLineChars="0"/>
              <w:jc w:val="both"/>
            </w:pPr>
          </w:p>
        </w:tc>
        <w:tc>
          <w:tcPr>
            <w:tcW w:w="858" w:type="pct"/>
            <w:vMerge w:val="continue"/>
            <w:vAlign w:val="center"/>
          </w:tcPr>
          <w:p>
            <w:pPr>
              <w:widowControl w:val="0"/>
              <w:spacing w:line="240" w:lineRule="auto"/>
              <w:ind w:left="0" w:leftChars="0" w:firstLine="0" w:firstLineChars="0"/>
              <w:jc w:val="both"/>
            </w:pPr>
          </w:p>
        </w:tc>
        <w:tc>
          <w:tcPr>
            <w:tcW w:w="1137"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临时沉砂池</w:t>
            </w:r>
          </w:p>
        </w:tc>
        <w:tc>
          <w:tcPr>
            <w:tcW w:w="877"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个</w:t>
            </w:r>
          </w:p>
        </w:tc>
        <w:tc>
          <w:tcPr>
            <w:tcW w:w="1099" w:type="pct"/>
            <w:vAlign w:val="center"/>
          </w:tcPr>
          <w:p>
            <w:pPr>
              <w:widowControl w:val="0"/>
              <w:spacing w:line="240" w:lineRule="auto"/>
              <w:ind w:left="0" w:leftChars="0" w:firstLine="0" w:firstLineChars="0"/>
              <w:jc w:val="both"/>
              <w:rPr>
                <w:rFonts w:hint="default" w:ascii="仿宋" w:hAnsi="仿宋" w:eastAsia="仿宋" w:cs="仿宋"/>
                <w:bCs/>
                <w:sz w:val="21"/>
                <w:szCs w:val="21"/>
                <w:lang w:val="en-US" w:eastAsia="zh-CN" w:bidi="ar-SA"/>
              </w:rPr>
            </w:pPr>
            <w:r>
              <w:rPr>
                <w:rFonts w:hint="eastAsia" w:ascii="仿宋" w:hAnsi="仿宋" w:eastAsia="仿宋" w:cs="仿宋"/>
                <w:bCs/>
                <w:sz w:val="21"/>
                <w:szCs w:val="21"/>
                <w:lang w:val="en-US" w:eastAsia="zh-CN" w:bidi="ar-SA"/>
              </w:rPr>
              <w:t>24</w:t>
            </w:r>
          </w:p>
        </w:tc>
      </w:tr>
    </w:tbl>
    <w:p>
      <w:pPr>
        <w:pStyle w:val="5"/>
        <w:bidi w:val="0"/>
        <w:rPr>
          <w:rFonts w:hint="default"/>
          <w:lang w:val="en-US" w:eastAsia="zh-CN"/>
        </w:rPr>
      </w:pPr>
      <w:r>
        <w:rPr>
          <w:rFonts w:hint="default"/>
          <w:lang w:val="en-US" w:eastAsia="zh-CN"/>
        </w:rPr>
        <w:t>4.2.2渣土保土效果及植被恢复情况</w:t>
      </w:r>
    </w:p>
    <w:p>
      <w:pPr>
        <w:bidi w:val="0"/>
        <w:rPr>
          <w:rFonts w:hint="default"/>
          <w:lang w:val="en-US" w:eastAsia="zh-CN"/>
        </w:rPr>
        <w:sectPr>
          <w:pgSz w:w="11922" w:h="16838"/>
          <w:pgMar w:top="1440" w:right="1440" w:bottom="1440" w:left="1440" w:header="850" w:footer="992" w:gutter="0"/>
          <w:pgBorders>
            <w:top w:val="none" w:sz="0" w:space="0"/>
            <w:left w:val="none" w:sz="0" w:space="0"/>
            <w:bottom w:val="none" w:sz="0" w:space="0"/>
            <w:right w:val="none" w:sz="0" w:space="0"/>
          </w:pgBorders>
          <w:pgNumType w:fmt="decimal"/>
          <w:cols w:space="0" w:num="1"/>
          <w:rtlGutter w:val="0"/>
          <w:docGrid w:linePitch="312" w:charSpace="0"/>
        </w:sectPr>
      </w:pPr>
      <w:r>
        <w:rPr>
          <w:rFonts w:hint="default"/>
          <w:lang w:val="en-US" w:eastAsia="zh-CN"/>
        </w:rPr>
        <w:t>项目内表土均运往临时堆土场堆置，临时覆盖及拦挡措施较为完善，项目区植被恢复情况不是特别理想，项目区粉尘较多，影响项目内苗木生长，植被恢复情况较差。</w:t>
      </w:r>
    </w:p>
    <w:p>
      <w:pPr>
        <w:pStyle w:val="3"/>
        <w:bidi w:val="0"/>
        <w:ind w:left="0" w:leftChars="0" w:firstLine="0" w:firstLineChars="0"/>
        <w:jc w:val="center"/>
        <w:rPr>
          <w:rFonts w:hint="default"/>
          <w:lang w:val="en-US" w:eastAsia="zh-CN"/>
        </w:rPr>
      </w:pPr>
      <w:bookmarkStart w:id="55" w:name="_Toc28843"/>
      <w:r>
        <w:rPr>
          <w:rFonts w:hint="default"/>
          <w:lang w:val="en-US" w:eastAsia="zh-CN"/>
        </w:rPr>
        <w:t>5、现场调查与分析</w:t>
      </w:r>
      <w:bookmarkEnd w:id="55"/>
    </w:p>
    <w:tbl>
      <w:tblPr>
        <w:tblStyle w:val="21"/>
        <w:tblW w:w="9054" w:type="dxa"/>
        <w:tblInd w:w="1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4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3" w:hRule="atLeast"/>
        </w:trPr>
        <w:tc>
          <w:tcPr>
            <w:tcW w:w="4506" w:type="dxa"/>
            <w:noWrap w:val="0"/>
            <w:vAlign w:val="center"/>
          </w:tcPr>
          <w:p>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lang w:eastAsia="zh-CN"/>
              </w:rPr>
            </w:pPr>
          </w:p>
          <w:p>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lang w:val="en-US" w:eastAsia="zh-CN"/>
              </w:rPr>
            </w:pPr>
          </w:p>
        </w:tc>
        <w:tc>
          <w:tcPr>
            <w:tcW w:w="4548" w:type="dxa"/>
            <w:noWrap w:val="0"/>
            <w:vAlign w:val="center"/>
          </w:tcPr>
          <w:p>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3" w:hRule="atLeast"/>
        </w:trPr>
        <w:tc>
          <w:tcPr>
            <w:tcW w:w="4506" w:type="dxa"/>
            <w:noWrap w:val="0"/>
            <w:vAlign w:val="center"/>
          </w:tcPr>
          <w:p>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lang w:eastAsia="zh-CN"/>
              </w:rPr>
            </w:pPr>
          </w:p>
          <w:p>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lang w:val="en-US" w:eastAsia="zh-CN"/>
              </w:rPr>
            </w:pPr>
          </w:p>
        </w:tc>
        <w:tc>
          <w:tcPr>
            <w:tcW w:w="4548" w:type="dxa"/>
            <w:noWrap w:val="0"/>
            <w:vAlign w:val="center"/>
          </w:tcPr>
          <w:p>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1" w:hRule="atLeast"/>
        </w:trPr>
        <w:tc>
          <w:tcPr>
            <w:tcW w:w="4506" w:type="dxa"/>
            <w:noWrap w:val="0"/>
            <w:vAlign w:val="center"/>
          </w:tcPr>
          <w:p>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lang w:eastAsia="zh-CN"/>
              </w:rPr>
            </w:pPr>
          </w:p>
          <w:p>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lang w:val="en-US" w:eastAsia="zh-CN"/>
              </w:rPr>
            </w:pPr>
          </w:p>
        </w:tc>
        <w:tc>
          <w:tcPr>
            <w:tcW w:w="4548" w:type="dxa"/>
            <w:noWrap w:val="0"/>
            <w:vAlign w:val="center"/>
          </w:tcPr>
          <w:p>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lang w:eastAsia="zh-CN"/>
              </w:rPr>
            </w:pPr>
          </w:p>
          <w:p>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lang w:val="en-US" w:eastAsia="zh-CN"/>
              </w:rPr>
            </w:pPr>
          </w:p>
        </w:tc>
      </w:tr>
    </w:tbl>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480" w:lineRule="auto"/>
        <w:jc w:val="left"/>
        <w:textAlignment w:val="auto"/>
        <w:outlineLvl w:val="9"/>
        <w:rPr>
          <w:rFonts w:hint="default" w:ascii="Times New Roman" w:hAnsi="Times New Roman" w:cs="Times New Roman"/>
          <w:color w:val="auto"/>
          <w:sz w:val="21"/>
          <w:szCs w:val="16"/>
          <w:lang w:val="en-US" w:eastAsia="zh-CN"/>
        </w:rPr>
      </w:pPr>
    </w:p>
    <w:p>
      <w:pPr>
        <w:pStyle w:val="2"/>
        <w:spacing w:line="240" w:lineRule="auto"/>
        <w:ind w:left="0" w:leftChars="0" w:firstLine="0" w:firstLineChars="0"/>
        <w:jc w:val="center"/>
        <w:rPr>
          <w:rFonts w:hint="eastAsia" w:ascii="宋体" w:hAnsi="宋体" w:eastAsia="宋体" w:cs="宋体"/>
          <w:b/>
          <w:color w:val="auto"/>
          <w:spacing w:val="20"/>
          <w:sz w:val="24"/>
          <w:szCs w:val="24"/>
          <w:highlight w:val="none"/>
        </w:rPr>
      </w:pPr>
    </w:p>
    <w:p>
      <w:pPr>
        <w:pStyle w:val="2"/>
        <w:spacing w:line="240" w:lineRule="auto"/>
        <w:ind w:left="0" w:leftChars="0" w:firstLine="0" w:firstLineChars="0"/>
        <w:jc w:val="center"/>
        <w:rPr>
          <w:rFonts w:hint="eastAsia" w:ascii="宋体" w:hAnsi="宋体" w:eastAsia="宋体" w:cs="宋体"/>
          <w:b/>
          <w:color w:val="auto"/>
          <w:spacing w:val="20"/>
          <w:sz w:val="24"/>
          <w:szCs w:val="24"/>
          <w:highlight w:val="none"/>
        </w:rPr>
      </w:pPr>
    </w:p>
    <w:p>
      <w:pPr>
        <w:pStyle w:val="2"/>
        <w:spacing w:line="240" w:lineRule="auto"/>
        <w:ind w:left="0" w:leftChars="0" w:firstLine="0" w:firstLineChars="0"/>
        <w:jc w:val="center"/>
        <w:rPr>
          <w:rFonts w:hint="eastAsia" w:ascii="宋体" w:hAnsi="宋体" w:eastAsia="宋体" w:cs="宋体"/>
          <w:b/>
          <w:color w:val="auto"/>
          <w:spacing w:val="20"/>
          <w:sz w:val="24"/>
          <w:szCs w:val="24"/>
          <w:highlight w:val="none"/>
        </w:rPr>
      </w:pPr>
    </w:p>
    <w:p>
      <w:pPr>
        <w:pStyle w:val="2"/>
        <w:spacing w:line="240" w:lineRule="auto"/>
        <w:ind w:left="0" w:leftChars="0" w:firstLine="0" w:firstLineChars="0"/>
        <w:jc w:val="center"/>
        <w:rPr>
          <w:rFonts w:hint="eastAsia" w:ascii="宋体" w:hAnsi="宋体" w:eastAsia="宋体" w:cs="宋体"/>
          <w:b/>
          <w:color w:val="auto"/>
          <w:spacing w:val="20"/>
          <w:sz w:val="24"/>
          <w:szCs w:val="24"/>
          <w:highlight w:val="none"/>
        </w:rPr>
      </w:pPr>
    </w:p>
    <w:p>
      <w:pPr>
        <w:pStyle w:val="2"/>
        <w:spacing w:line="240" w:lineRule="auto"/>
        <w:ind w:left="0" w:leftChars="0" w:firstLine="0" w:firstLineChars="0"/>
        <w:jc w:val="center"/>
        <w:rPr>
          <w:rFonts w:hint="eastAsia" w:ascii="宋体" w:hAnsi="宋体" w:eastAsia="宋体" w:cs="宋体"/>
          <w:b/>
          <w:color w:val="auto"/>
          <w:spacing w:val="20"/>
          <w:sz w:val="24"/>
          <w:szCs w:val="24"/>
          <w:highlight w:val="none"/>
        </w:rPr>
      </w:pPr>
    </w:p>
    <w:p>
      <w:pPr>
        <w:pStyle w:val="2"/>
        <w:spacing w:line="240" w:lineRule="auto"/>
        <w:ind w:left="0" w:leftChars="0" w:firstLine="0" w:firstLineChars="0"/>
        <w:jc w:val="center"/>
        <w:rPr>
          <w:rFonts w:hint="eastAsia" w:ascii="宋体" w:hAnsi="宋体" w:eastAsia="宋体" w:cs="宋体"/>
          <w:b/>
          <w:color w:val="auto"/>
          <w:spacing w:val="20"/>
          <w:sz w:val="24"/>
          <w:szCs w:val="24"/>
          <w:highlight w:val="none"/>
        </w:rPr>
      </w:pPr>
    </w:p>
    <w:p>
      <w:pPr>
        <w:pStyle w:val="2"/>
        <w:spacing w:line="240" w:lineRule="auto"/>
        <w:ind w:left="0" w:leftChars="0" w:firstLine="0" w:firstLineChars="0"/>
        <w:jc w:val="center"/>
        <w:rPr>
          <w:rFonts w:hint="eastAsia" w:ascii="宋体" w:hAnsi="宋体" w:eastAsia="宋体" w:cs="宋体"/>
          <w:b/>
          <w:color w:val="auto"/>
          <w:spacing w:val="20"/>
          <w:sz w:val="28"/>
          <w:szCs w:val="28"/>
          <w:highlight w:val="none"/>
        </w:rPr>
      </w:pPr>
      <w:r>
        <w:rPr>
          <w:rFonts w:hint="eastAsia" w:ascii="宋体" w:hAnsi="宋体" w:eastAsia="宋体" w:cs="宋体"/>
          <w:b/>
          <w:color w:val="auto"/>
          <w:spacing w:val="20"/>
          <w:sz w:val="28"/>
          <w:szCs w:val="28"/>
          <w:highlight w:val="none"/>
        </w:rPr>
        <w:t>衡阳市</w:t>
      </w:r>
      <w:r>
        <w:rPr>
          <w:rFonts w:hint="eastAsia" w:ascii="宋体" w:hAnsi="宋体" w:eastAsia="宋体" w:cs="宋体"/>
          <w:b/>
          <w:color w:val="auto"/>
          <w:spacing w:val="20"/>
          <w:sz w:val="28"/>
          <w:szCs w:val="28"/>
          <w:highlight w:val="none"/>
          <w:lang w:val="en-US" w:eastAsia="zh-CN"/>
        </w:rPr>
        <w:t>回雁峰公园地下停车场</w:t>
      </w:r>
      <w:r>
        <w:rPr>
          <w:rFonts w:hint="eastAsia" w:ascii="宋体" w:hAnsi="宋体" w:eastAsia="宋体" w:cs="宋体"/>
          <w:b/>
          <w:color w:val="auto"/>
          <w:spacing w:val="20"/>
          <w:sz w:val="28"/>
          <w:szCs w:val="28"/>
          <w:highlight w:val="none"/>
        </w:rPr>
        <w:t>建设工程项目</w:t>
      </w:r>
    </w:p>
    <w:p>
      <w:pPr>
        <w:pStyle w:val="2"/>
        <w:ind w:left="0" w:leftChars="0" w:firstLine="0" w:firstLineChars="0"/>
        <w:jc w:val="distribute"/>
        <w:rPr>
          <w:rFonts w:hint="eastAsia" w:ascii="黑体" w:hAnsi="黑体" w:eastAsia="黑体" w:cs="黑体"/>
          <w:color w:val="auto"/>
          <w:sz w:val="72"/>
          <w:szCs w:val="72"/>
          <w:highlight w:val="none"/>
          <w:lang w:val="en-US" w:eastAsia="zh-CN"/>
        </w:rPr>
      </w:pPr>
      <w:r>
        <w:rPr>
          <w:rFonts w:hint="eastAsia" w:ascii="黑体" w:hAnsi="黑体" w:eastAsia="黑体" w:cs="黑体"/>
          <w:color w:val="auto"/>
          <w:sz w:val="72"/>
          <w:szCs w:val="72"/>
          <w:highlight w:val="none"/>
          <w:lang w:val="en-US" w:eastAsia="zh-CN"/>
        </w:rPr>
        <w:t>水土保持监测实施方案</w:t>
      </w:r>
    </w:p>
    <w:p>
      <w:pPr>
        <w:pStyle w:val="2"/>
        <w:ind w:left="0" w:leftChars="0" w:firstLine="0" w:firstLineChars="0"/>
        <w:jc w:val="center"/>
        <w:rPr>
          <w:rFonts w:hint="default" w:ascii="Times New Roman" w:hAnsi="Times New Roman" w:eastAsia="宋体" w:cs="Times New Roman"/>
          <w:color w:val="auto"/>
          <w:sz w:val="44"/>
          <w:szCs w:val="44"/>
          <w:highlight w:val="none"/>
          <w:lang w:val="en-US" w:eastAsia="zh-CN"/>
        </w:rPr>
      </w:pPr>
    </w:p>
    <w:p>
      <w:pPr>
        <w:pStyle w:val="2"/>
        <w:ind w:left="0" w:leftChars="0" w:firstLine="0" w:firstLineChars="0"/>
        <w:jc w:val="center"/>
        <w:rPr>
          <w:rFonts w:hint="default" w:ascii="Times New Roman" w:hAnsi="Times New Roman" w:eastAsia="宋体" w:cs="Times New Roman"/>
          <w:color w:val="auto"/>
          <w:sz w:val="44"/>
          <w:szCs w:val="44"/>
          <w:highlight w:val="none"/>
          <w:lang w:val="en-US" w:eastAsia="zh-CN"/>
        </w:rPr>
      </w:pPr>
    </w:p>
    <w:p>
      <w:pPr>
        <w:pStyle w:val="2"/>
        <w:ind w:left="0" w:leftChars="0" w:firstLine="0" w:firstLineChars="0"/>
        <w:jc w:val="center"/>
        <w:rPr>
          <w:rFonts w:hint="default" w:ascii="Times New Roman" w:hAnsi="Times New Roman" w:eastAsia="宋体" w:cs="Times New Roman"/>
          <w:color w:val="auto"/>
          <w:sz w:val="44"/>
          <w:szCs w:val="44"/>
          <w:highlight w:val="none"/>
          <w:lang w:val="en-US" w:eastAsia="zh-CN"/>
        </w:rPr>
      </w:pPr>
    </w:p>
    <w:p>
      <w:pPr>
        <w:pStyle w:val="2"/>
        <w:ind w:left="0" w:leftChars="0" w:firstLine="0" w:firstLineChars="0"/>
        <w:jc w:val="center"/>
        <w:rPr>
          <w:rFonts w:hint="default" w:ascii="Times New Roman" w:hAnsi="Times New Roman" w:eastAsia="宋体" w:cs="Times New Roman"/>
          <w:color w:val="auto"/>
          <w:sz w:val="44"/>
          <w:szCs w:val="44"/>
          <w:highlight w:val="none"/>
          <w:lang w:val="en-US" w:eastAsia="zh-CN"/>
        </w:rPr>
      </w:pPr>
    </w:p>
    <w:p>
      <w:pPr>
        <w:pStyle w:val="2"/>
        <w:ind w:left="0" w:leftChars="0" w:firstLine="0" w:firstLineChars="0"/>
        <w:jc w:val="center"/>
        <w:rPr>
          <w:rFonts w:hint="default" w:ascii="Times New Roman" w:hAnsi="Times New Roman" w:eastAsia="宋体" w:cs="Times New Roman"/>
          <w:color w:val="auto"/>
          <w:sz w:val="44"/>
          <w:szCs w:val="44"/>
          <w:highlight w:val="none"/>
          <w:lang w:val="en-US" w:eastAsia="zh-CN"/>
        </w:rPr>
      </w:pPr>
    </w:p>
    <w:p>
      <w:pPr>
        <w:spacing w:line="240" w:lineRule="atLeast"/>
        <w:ind w:left="0" w:leftChars="0" w:right="-120" w:rightChars="-50" w:firstLine="0" w:firstLineChars="0"/>
        <w:jc w:val="center"/>
        <w:outlineLvl w:val="0"/>
        <w:rPr>
          <w:rFonts w:hint="eastAsia" w:ascii="宋体" w:hAnsi="宋体"/>
          <w:b w:val="0"/>
          <w:bCs/>
          <w:color w:val="auto"/>
          <w:sz w:val="30"/>
          <w:highlight w:val="none"/>
        </w:rPr>
      </w:pPr>
      <w:bookmarkStart w:id="56" w:name="_Toc16657"/>
      <w:r>
        <w:rPr>
          <w:rFonts w:hint="eastAsia" w:ascii="宋体" w:hAnsi="宋体"/>
          <w:b w:val="0"/>
          <w:bCs/>
          <w:color w:val="auto"/>
          <w:spacing w:val="20"/>
          <w:sz w:val="30"/>
          <w:highlight w:val="none"/>
        </w:rPr>
        <w:t>建设</w:t>
      </w:r>
      <w:r>
        <w:rPr>
          <w:rFonts w:ascii="宋体" w:hAnsi="宋体"/>
          <w:b w:val="0"/>
          <w:bCs/>
          <w:color w:val="auto"/>
          <w:spacing w:val="20"/>
          <w:sz w:val="30"/>
          <w:highlight w:val="none"/>
        </w:rPr>
        <w:t>单位：</w:t>
      </w:r>
      <w:r>
        <w:rPr>
          <w:rFonts w:hint="eastAsia" w:ascii="宋体" w:hAnsi="宋体"/>
          <w:b w:val="0"/>
          <w:bCs/>
          <w:color w:val="auto"/>
          <w:sz w:val="30"/>
          <w:highlight w:val="none"/>
        </w:rPr>
        <w:t>衡阳</w:t>
      </w:r>
      <w:r>
        <w:rPr>
          <w:rFonts w:hint="eastAsia" w:ascii="宋体" w:hAnsi="宋体"/>
          <w:b w:val="0"/>
          <w:bCs/>
          <w:color w:val="auto"/>
          <w:sz w:val="30"/>
          <w:highlight w:val="none"/>
          <w:lang w:eastAsia="zh-CN"/>
        </w:rPr>
        <w:t>市城市建设投资</w:t>
      </w:r>
      <w:r>
        <w:rPr>
          <w:rFonts w:hint="eastAsia" w:ascii="宋体" w:hAnsi="宋体"/>
          <w:b w:val="0"/>
          <w:bCs/>
          <w:color w:val="auto"/>
          <w:sz w:val="30"/>
          <w:highlight w:val="none"/>
        </w:rPr>
        <w:t>有限公司</w:t>
      </w:r>
      <w:bookmarkEnd w:id="56"/>
    </w:p>
    <w:p>
      <w:pPr>
        <w:pStyle w:val="2"/>
        <w:rPr>
          <w:rFonts w:hint="eastAsia"/>
          <w:b w:val="0"/>
          <w:bCs/>
          <w:color w:val="auto"/>
          <w:highlight w:val="none"/>
        </w:rPr>
      </w:pPr>
    </w:p>
    <w:p>
      <w:pPr>
        <w:spacing w:line="240" w:lineRule="atLeast"/>
        <w:ind w:left="0" w:leftChars="0" w:right="-120" w:rightChars="-50" w:firstLine="0" w:firstLineChars="0"/>
        <w:jc w:val="center"/>
        <w:outlineLvl w:val="0"/>
        <w:rPr>
          <w:rFonts w:ascii="宋体" w:hAnsi="宋体"/>
          <w:b w:val="0"/>
          <w:bCs/>
          <w:color w:val="auto"/>
          <w:spacing w:val="20"/>
          <w:sz w:val="30"/>
          <w:highlight w:val="none"/>
        </w:rPr>
      </w:pPr>
      <w:bookmarkStart w:id="57" w:name="_Toc21151"/>
      <w:r>
        <w:rPr>
          <w:rFonts w:ascii="宋体" w:hAnsi="宋体"/>
          <w:b w:val="0"/>
          <w:bCs/>
          <w:color w:val="auto"/>
          <w:spacing w:val="20"/>
          <w:sz w:val="30"/>
          <w:highlight w:val="none"/>
        </w:rPr>
        <w:t>编制单位：</w:t>
      </w:r>
      <w:r>
        <w:rPr>
          <w:rFonts w:hint="eastAsia" w:ascii="宋体" w:hAnsi="宋体"/>
          <w:b w:val="0"/>
          <w:bCs/>
          <w:color w:val="auto"/>
          <w:sz w:val="30"/>
          <w:highlight w:val="none"/>
        </w:rPr>
        <w:t>湖南华意项目管理有限公司</w:t>
      </w:r>
      <w:bookmarkEnd w:id="57"/>
    </w:p>
    <w:p>
      <w:pPr>
        <w:jc w:val="center"/>
        <w:rPr>
          <w:rFonts w:hAnsi="宋体"/>
          <w:b w:val="0"/>
          <w:bCs/>
          <w:color w:val="auto"/>
          <w:sz w:val="30"/>
          <w:highlight w:val="none"/>
        </w:rPr>
      </w:pPr>
    </w:p>
    <w:p>
      <w:pPr>
        <w:ind w:left="0" w:leftChars="0" w:firstLine="0" w:firstLineChars="0"/>
        <w:jc w:val="center"/>
        <w:rPr>
          <w:b w:val="0"/>
          <w:bCs/>
          <w:color w:val="auto"/>
          <w:sz w:val="30"/>
          <w:highlight w:val="none"/>
        </w:rPr>
      </w:pPr>
      <w:r>
        <w:rPr>
          <w:rFonts w:hint="eastAsia" w:hAnsi="宋体"/>
          <w:b w:val="0"/>
          <w:bCs/>
          <w:color w:val="auto"/>
          <w:sz w:val="30"/>
          <w:highlight w:val="none"/>
          <w:lang w:val="en-US" w:eastAsia="zh-CN"/>
        </w:rPr>
        <w:t>2021年12</w:t>
      </w:r>
      <w:r>
        <w:rPr>
          <w:rFonts w:hAnsi="宋体"/>
          <w:b w:val="0"/>
          <w:bCs/>
          <w:color w:val="auto"/>
          <w:sz w:val="30"/>
          <w:highlight w:val="none"/>
        </w:rPr>
        <w:t>月</w:t>
      </w:r>
    </w:p>
    <w:p>
      <w:pPr>
        <w:rPr>
          <w:b w:val="0"/>
          <w:bCs/>
          <w:color w:val="auto"/>
          <w:highlight w:val="none"/>
        </w:rPr>
        <w:sectPr>
          <w:pgSz w:w="11906" w:h="16838"/>
          <w:pgMar w:top="1440" w:right="1440" w:bottom="1440" w:left="1440" w:header="851" w:footer="992" w:gutter="0"/>
          <w:cols w:space="0" w:num="1"/>
          <w:rtlGutter w:val="0"/>
          <w:docGrid w:type="lines" w:linePitch="312" w:charSpace="0"/>
        </w:sectPr>
      </w:pPr>
    </w:p>
    <w:p>
      <w:pPr>
        <w:pStyle w:val="2"/>
        <w:ind w:left="0" w:leftChars="0" w:firstLine="0" w:firstLineChars="0"/>
        <w:rPr>
          <w:rFonts w:hint="eastAsia"/>
          <w:color w:val="auto"/>
          <w:highlight w:val="none"/>
          <w:lang w:val="en-US" w:eastAsia="zh-CN"/>
        </w:rPr>
      </w:pPr>
    </w:p>
    <w:p>
      <w:pPr>
        <w:pStyle w:val="2"/>
        <w:ind w:left="0" w:leftChars="0" w:firstLine="0" w:firstLineChars="0"/>
        <w:rPr>
          <w:rFonts w:hint="eastAsia"/>
          <w:color w:val="auto"/>
          <w:highlight w:val="none"/>
          <w:lang w:val="en-US" w:eastAsia="zh-CN"/>
        </w:rPr>
      </w:pPr>
      <w:r>
        <w:rPr>
          <w:rFonts w:hint="eastAsia"/>
          <w:color w:val="auto"/>
          <w:highlight w:val="none"/>
          <w:lang w:val="en-US" w:eastAsia="zh-CN"/>
        </w:rPr>
        <w:t>项目名称：衡阳市回雁峰公园地下停车场建设项目</w:t>
      </w:r>
    </w:p>
    <w:p>
      <w:pPr>
        <w:pStyle w:val="2"/>
        <w:ind w:left="0" w:leftChars="0" w:firstLine="0" w:firstLineChars="0"/>
        <w:jc w:val="center"/>
        <w:rPr>
          <w:rFonts w:hint="eastAsia"/>
          <w:color w:val="auto"/>
          <w:sz w:val="28"/>
          <w:szCs w:val="28"/>
          <w:highlight w:val="none"/>
          <w:u w:val="single"/>
          <w:lang w:val="en-US" w:eastAsia="zh-CN"/>
        </w:rPr>
      </w:pPr>
      <w:r>
        <w:rPr>
          <w:rFonts w:hint="eastAsia"/>
          <w:color w:val="auto"/>
          <w:sz w:val="28"/>
          <w:szCs w:val="28"/>
          <w:highlight w:val="none"/>
          <w:u w:val="single"/>
          <w:lang w:val="en-US" w:eastAsia="zh-CN"/>
        </w:rPr>
        <w:t>责 任 表</w:t>
      </w:r>
    </w:p>
    <w:tbl>
      <w:tblPr>
        <w:tblStyle w:val="22"/>
        <w:tblW w:w="510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9"/>
        <w:gridCol w:w="2899"/>
        <w:gridCol w:w="2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责    任</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姓    名</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签    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审    定</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莫俊华</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default"/>
                <w:color w:val="auto"/>
                <w:sz w:val="24"/>
                <w:szCs w:val="24"/>
                <w:highlight w:val="none"/>
                <w:u w:val="none"/>
                <w:vertAlign w:val="baseline"/>
                <w:lang w:val="en-US" w:eastAsia="zh-CN"/>
              </w:rPr>
              <w:drawing>
                <wp:anchor distT="0" distB="0" distL="114300" distR="114300" simplePos="0" relativeHeight="251663360" behindDoc="0" locked="0" layoutInCell="1" allowOverlap="1">
                  <wp:simplePos x="0" y="0"/>
                  <wp:positionH relativeFrom="column">
                    <wp:posOffset>327025</wp:posOffset>
                  </wp:positionH>
                  <wp:positionV relativeFrom="paragraph">
                    <wp:posOffset>56515</wp:posOffset>
                  </wp:positionV>
                  <wp:extent cx="895985" cy="369570"/>
                  <wp:effectExtent l="0" t="0" r="18415" b="11430"/>
                  <wp:wrapNone/>
                  <wp:docPr id="6" name="图片 6"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莫俊华"/>
                          <pic:cNvPicPr>
                            <a:picLocks noChangeAspect="1"/>
                          </pic:cNvPicPr>
                        </pic:nvPicPr>
                        <pic:blipFill>
                          <a:blip r:embed="rId11"/>
                          <a:stretch>
                            <a:fillRect/>
                          </a:stretch>
                        </pic:blipFill>
                        <pic:spPr>
                          <a:xfrm>
                            <a:off x="0" y="0"/>
                            <a:ext cx="895985" cy="369570"/>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审    查</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秦佳伟</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default"/>
                <w:color w:val="auto"/>
                <w:sz w:val="24"/>
                <w:szCs w:val="24"/>
                <w:highlight w:val="none"/>
                <w:u w:val="none"/>
                <w:vertAlign w:val="baseline"/>
                <w:lang w:val="en-US" w:eastAsia="zh-CN"/>
              </w:rPr>
              <w:drawing>
                <wp:anchor distT="0" distB="0" distL="114300" distR="114300" simplePos="0" relativeHeight="251664384" behindDoc="0" locked="0" layoutInCell="1" allowOverlap="1">
                  <wp:simplePos x="0" y="0"/>
                  <wp:positionH relativeFrom="column">
                    <wp:posOffset>320675</wp:posOffset>
                  </wp:positionH>
                  <wp:positionV relativeFrom="paragraph">
                    <wp:posOffset>64770</wp:posOffset>
                  </wp:positionV>
                  <wp:extent cx="925830" cy="370840"/>
                  <wp:effectExtent l="0" t="0" r="7620" b="10160"/>
                  <wp:wrapNone/>
                  <wp:docPr id="3" name="图片 3"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秦佳伟"/>
                          <pic:cNvPicPr>
                            <a:picLocks noChangeAspect="1"/>
                          </pic:cNvPicPr>
                        </pic:nvPicPr>
                        <pic:blipFill>
                          <a:blip r:embed="rId12"/>
                          <a:stretch>
                            <a:fillRect/>
                          </a:stretch>
                        </pic:blipFill>
                        <pic:spPr>
                          <a:xfrm>
                            <a:off x="0" y="0"/>
                            <a:ext cx="925830" cy="370840"/>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校    核</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阳衡辉</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default"/>
                <w:color w:val="auto"/>
                <w:sz w:val="24"/>
                <w:szCs w:val="24"/>
                <w:highlight w:val="none"/>
                <w:u w:val="none"/>
                <w:vertAlign w:val="baseline"/>
                <w:lang w:val="en-US" w:eastAsia="zh-CN"/>
              </w:rPr>
              <w:drawing>
                <wp:anchor distT="0" distB="0" distL="114300" distR="114300" simplePos="0" relativeHeight="251665408" behindDoc="0" locked="0" layoutInCell="1" allowOverlap="1">
                  <wp:simplePos x="0" y="0"/>
                  <wp:positionH relativeFrom="column">
                    <wp:posOffset>370205</wp:posOffset>
                  </wp:positionH>
                  <wp:positionV relativeFrom="paragraph">
                    <wp:posOffset>65405</wp:posOffset>
                  </wp:positionV>
                  <wp:extent cx="887095" cy="443865"/>
                  <wp:effectExtent l="0" t="0" r="8255" b="13335"/>
                  <wp:wrapNone/>
                  <wp:docPr id="8" name="图片 8"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阳衡辉"/>
                          <pic:cNvPicPr>
                            <a:picLocks noChangeAspect="1"/>
                          </pic:cNvPicPr>
                        </pic:nvPicPr>
                        <pic:blipFill>
                          <a:blip r:embed="rId13"/>
                          <a:stretch>
                            <a:fillRect/>
                          </a:stretch>
                        </pic:blipFill>
                        <pic:spPr>
                          <a:xfrm>
                            <a:off x="0" y="0"/>
                            <a:ext cx="887095" cy="443865"/>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项目负责人</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黄  强</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default"/>
                <w:color w:val="auto"/>
                <w:sz w:val="24"/>
                <w:szCs w:val="24"/>
                <w:highlight w:val="none"/>
                <w:u w:val="none"/>
                <w:vertAlign w:val="baseline"/>
                <w:lang w:val="en-US" w:eastAsia="zh-CN"/>
              </w:rPr>
              <w:drawing>
                <wp:anchor distT="0" distB="0" distL="114300" distR="114300" simplePos="0" relativeHeight="251666432" behindDoc="0" locked="0" layoutInCell="1" allowOverlap="1">
                  <wp:simplePos x="0" y="0"/>
                  <wp:positionH relativeFrom="column">
                    <wp:posOffset>366395</wp:posOffset>
                  </wp:positionH>
                  <wp:positionV relativeFrom="paragraph">
                    <wp:posOffset>28575</wp:posOffset>
                  </wp:positionV>
                  <wp:extent cx="828675" cy="491490"/>
                  <wp:effectExtent l="0" t="0" r="9525" b="3810"/>
                  <wp:wrapNone/>
                  <wp:docPr id="167" name="图片 167" descr="黄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黄强"/>
                          <pic:cNvPicPr>
                            <a:picLocks noChangeAspect="1"/>
                          </pic:cNvPicPr>
                        </pic:nvPicPr>
                        <pic:blipFill>
                          <a:blip r:embed="rId14"/>
                          <a:stretch>
                            <a:fillRect/>
                          </a:stretch>
                        </pic:blipFill>
                        <pic:spPr>
                          <a:xfrm>
                            <a:off x="0" y="0"/>
                            <a:ext cx="828675" cy="491490"/>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1666" w:type="pct"/>
            <w:vMerge w:val="restar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编    写</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刘宏志</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default"/>
                <w:color w:val="auto"/>
                <w:sz w:val="24"/>
                <w:szCs w:val="24"/>
                <w:highlight w:val="none"/>
                <w:u w:val="none"/>
                <w:vertAlign w:val="baseline"/>
                <w:lang w:val="en-US" w:eastAsia="zh-CN"/>
              </w:rPr>
              <w:drawing>
                <wp:anchor distT="0" distB="0" distL="114300" distR="114300" simplePos="0" relativeHeight="251667456" behindDoc="0" locked="0" layoutInCell="1" allowOverlap="1">
                  <wp:simplePos x="0" y="0"/>
                  <wp:positionH relativeFrom="column">
                    <wp:posOffset>389255</wp:posOffset>
                  </wp:positionH>
                  <wp:positionV relativeFrom="paragraph">
                    <wp:posOffset>47625</wp:posOffset>
                  </wp:positionV>
                  <wp:extent cx="828675" cy="441325"/>
                  <wp:effectExtent l="0" t="0" r="9525" b="15875"/>
                  <wp:wrapNone/>
                  <wp:docPr id="168" name="图片 168" descr="刘宏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刘宏志"/>
                          <pic:cNvPicPr>
                            <a:picLocks noChangeAspect="1"/>
                          </pic:cNvPicPr>
                        </pic:nvPicPr>
                        <pic:blipFill>
                          <a:blip r:embed="rId15"/>
                          <a:stretch>
                            <a:fillRect/>
                          </a:stretch>
                        </pic:blipFill>
                        <pic:spPr>
                          <a:xfrm>
                            <a:off x="0" y="0"/>
                            <a:ext cx="828675" cy="441325"/>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1666" w:type="pct"/>
            <w:vMerge w:val="continue"/>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尹靖雯</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default"/>
                <w:color w:val="auto"/>
                <w:sz w:val="24"/>
                <w:szCs w:val="24"/>
                <w:highlight w:val="none"/>
                <w:u w:val="none"/>
                <w:vertAlign w:val="baseline"/>
                <w:lang w:val="en-US" w:eastAsia="zh-CN"/>
              </w:rPr>
              <w:drawing>
                <wp:anchor distT="0" distB="0" distL="114300" distR="114300" simplePos="0" relativeHeight="251669504" behindDoc="0" locked="0" layoutInCell="1" allowOverlap="1">
                  <wp:simplePos x="0" y="0"/>
                  <wp:positionH relativeFrom="column">
                    <wp:posOffset>294005</wp:posOffset>
                  </wp:positionH>
                  <wp:positionV relativeFrom="paragraph">
                    <wp:posOffset>53340</wp:posOffset>
                  </wp:positionV>
                  <wp:extent cx="998855" cy="429260"/>
                  <wp:effectExtent l="0" t="0" r="10795" b="8890"/>
                  <wp:wrapNone/>
                  <wp:docPr id="169" name="图片 169" descr="尹靖雯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尹靖雯1"/>
                          <pic:cNvPicPr>
                            <a:picLocks noChangeAspect="1"/>
                          </pic:cNvPicPr>
                        </pic:nvPicPr>
                        <pic:blipFill>
                          <a:blip r:embed="rId16"/>
                          <a:stretch>
                            <a:fillRect/>
                          </a:stretch>
                        </pic:blipFill>
                        <pic:spPr>
                          <a:xfrm>
                            <a:off x="0" y="0"/>
                            <a:ext cx="998855" cy="429260"/>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666" w:type="pct"/>
            <w:vMerge w:val="continue"/>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eastAsia"/>
                <w:color w:val="auto"/>
                <w:sz w:val="24"/>
                <w:szCs w:val="24"/>
                <w:highlight w:val="none"/>
                <w:u w:val="none"/>
                <w:vertAlign w:val="baseline"/>
                <w:lang w:val="en-US" w:eastAsia="zh-CN"/>
              </w:rPr>
              <w:t>蒋  茂</w:t>
            </w:r>
          </w:p>
        </w:tc>
        <w:tc>
          <w:tcPr>
            <w:tcW w:w="1666" w:type="pct"/>
            <w:vAlign w:val="center"/>
          </w:tcPr>
          <w:p>
            <w:pPr>
              <w:pStyle w:val="2"/>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color w:val="auto"/>
                <w:sz w:val="24"/>
                <w:szCs w:val="24"/>
                <w:highlight w:val="none"/>
                <w:u w:val="none"/>
                <w:vertAlign w:val="baseline"/>
                <w:lang w:val="en-US" w:eastAsia="zh-CN"/>
              </w:rPr>
            </w:pPr>
            <w:r>
              <w:rPr>
                <w:rFonts w:hint="default"/>
                <w:color w:val="auto"/>
                <w:sz w:val="24"/>
                <w:szCs w:val="24"/>
                <w:highlight w:val="none"/>
                <w:u w:val="none"/>
                <w:vertAlign w:val="baseline"/>
                <w:lang w:val="en-US" w:eastAsia="zh-CN"/>
              </w:rPr>
              <w:drawing>
                <wp:anchor distT="0" distB="0" distL="114300" distR="114300" simplePos="0" relativeHeight="251668480" behindDoc="0" locked="0" layoutInCell="1" allowOverlap="1">
                  <wp:simplePos x="0" y="0"/>
                  <wp:positionH relativeFrom="column">
                    <wp:posOffset>442595</wp:posOffset>
                  </wp:positionH>
                  <wp:positionV relativeFrom="paragraph">
                    <wp:posOffset>38100</wp:posOffset>
                  </wp:positionV>
                  <wp:extent cx="721360" cy="426085"/>
                  <wp:effectExtent l="0" t="0" r="2540" b="12065"/>
                  <wp:wrapNone/>
                  <wp:docPr id="170" name="图片 170" descr="蒋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蒋茂"/>
                          <pic:cNvPicPr>
                            <a:picLocks noChangeAspect="1"/>
                          </pic:cNvPicPr>
                        </pic:nvPicPr>
                        <pic:blipFill>
                          <a:blip r:embed="rId17"/>
                          <a:stretch>
                            <a:fillRect/>
                          </a:stretch>
                        </pic:blipFill>
                        <pic:spPr>
                          <a:xfrm>
                            <a:off x="0" y="0"/>
                            <a:ext cx="721360" cy="426085"/>
                          </a:xfrm>
                          <a:prstGeom prst="rect">
                            <a:avLst/>
                          </a:prstGeom>
                        </pic:spPr>
                      </pic:pic>
                    </a:graphicData>
                  </a:graphic>
                </wp:anchor>
              </w:drawing>
            </w:r>
          </w:p>
        </w:tc>
      </w:tr>
    </w:tbl>
    <w:p>
      <w:pPr>
        <w:pStyle w:val="2"/>
        <w:jc w:val="center"/>
        <w:rPr>
          <w:rFonts w:hint="default"/>
          <w:color w:val="auto"/>
          <w:sz w:val="28"/>
          <w:szCs w:val="28"/>
          <w:highlight w:val="none"/>
          <w:u w:val="single"/>
          <w:lang w:val="en-US" w:eastAsia="zh-CN"/>
        </w:rPr>
        <w:sectPr>
          <w:pgSz w:w="11906" w:h="16838"/>
          <w:pgMar w:top="1440" w:right="1800" w:bottom="1440" w:left="1800" w:header="851" w:footer="992" w:gutter="0"/>
          <w:cols w:space="425" w:num="1"/>
          <w:docGrid w:type="lines" w:linePitch="312" w:charSpace="0"/>
        </w:sectPr>
      </w:pPr>
    </w:p>
    <w:sdt>
      <w:sdtPr>
        <w:rPr>
          <w:rFonts w:ascii="宋体" w:hAnsi="宋体" w:eastAsia="宋体" w:cstheme="minorBidi"/>
          <w:color w:val="auto"/>
          <w:kern w:val="2"/>
          <w:sz w:val="21"/>
          <w:szCs w:val="24"/>
          <w:highlight w:val="none"/>
          <w:lang w:val="en-US" w:eastAsia="zh-CN" w:bidi="ar-SA"/>
        </w:rPr>
        <w:id w:val="147479691"/>
        <w15:color w:val="DBDBDB"/>
        <w:docPartObj>
          <w:docPartGallery w:val="Table of Contents"/>
          <w:docPartUnique/>
        </w:docPartObj>
      </w:sdtPr>
      <w:sdtEndPr>
        <w:rPr>
          <w:rFonts w:hint="default" w:ascii="Times New Roman" w:hAnsi="Times New Roman" w:eastAsia="宋体" w:cstheme="minorBidi"/>
          <w:color w:val="auto"/>
          <w:kern w:val="2"/>
          <w:sz w:val="24"/>
          <w:szCs w:val="28"/>
          <w:highlight w:val="none"/>
          <w:u w:val="single"/>
          <w:lang w:val="en-US" w:eastAsia="zh-CN" w:bidi="ar-SA"/>
        </w:rPr>
      </w:sdtEndPr>
      <w:sdtContent>
        <w:p>
          <w:pPr>
            <w:keepNext w:val="0"/>
            <w:keepLines w:val="0"/>
            <w:pageBreakBefore w:val="0"/>
            <w:kinsoku/>
            <w:wordWrap/>
            <w:overflowPunct/>
            <w:topLinePunct w:val="0"/>
            <w:autoSpaceDE/>
            <w:autoSpaceDN/>
            <w:bidi w:val="0"/>
            <w:spacing w:before="0" w:beforeLines="0" w:after="0" w:afterLines="0" w:line="360" w:lineRule="auto"/>
            <w:ind w:left="0" w:leftChars="0" w:right="0" w:rightChars="0" w:firstLine="0" w:firstLineChars="0"/>
            <w:jc w:val="center"/>
            <w:textAlignment w:val="auto"/>
            <w:rPr>
              <w:color w:val="auto"/>
              <w:sz w:val="36"/>
              <w:szCs w:val="36"/>
              <w:highlight w:val="none"/>
            </w:rPr>
          </w:pPr>
          <w:r>
            <w:rPr>
              <w:rFonts w:ascii="宋体" w:hAnsi="宋体" w:eastAsia="宋体"/>
              <w:color w:val="auto"/>
              <w:sz w:val="28"/>
              <w:szCs w:val="36"/>
              <w:highlight w:val="none"/>
            </w:rPr>
            <w:t>目录</w:t>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40"/>
              <w:szCs w:val="40"/>
              <w:highlight w:val="none"/>
              <w:u w:val="single"/>
              <w:lang w:val="en-US" w:eastAsia="zh-CN"/>
            </w:rPr>
            <w:fldChar w:fldCharType="begin"/>
          </w:r>
          <w:r>
            <w:rPr>
              <w:rFonts w:hint="default"/>
              <w:color w:val="auto"/>
              <w:sz w:val="40"/>
              <w:szCs w:val="40"/>
              <w:highlight w:val="none"/>
              <w:u w:val="single"/>
              <w:lang w:val="en-US" w:eastAsia="zh-CN"/>
            </w:rPr>
            <w:instrText xml:space="preserve">TOC \o "1-3" \h \u </w:instrText>
          </w:r>
          <w:r>
            <w:rPr>
              <w:rFonts w:hint="default"/>
              <w:color w:val="auto"/>
              <w:sz w:val="40"/>
              <w:szCs w:val="40"/>
              <w:highlight w:val="none"/>
              <w:u w:val="single"/>
              <w:lang w:val="en-US" w:eastAsia="zh-CN"/>
            </w:rPr>
            <w:fldChar w:fldCharType="separate"/>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_Toc3588 </w:instrText>
          </w:r>
          <w:r>
            <w:rPr>
              <w:rFonts w:hint="default"/>
              <w:color w:val="auto"/>
              <w:sz w:val="24"/>
              <w:szCs w:val="40"/>
              <w:highlight w:val="none"/>
              <w:lang w:val="en-US" w:eastAsia="zh-CN"/>
            </w:rPr>
            <w:fldChar w:fldCharType="separate"/>
          </w:r>
          <w:r>
            <w:rPr>
              <w:rFonts w:hint="default" w:ascii="Times New Roman" w:hAnsi="Times New Roman" w:eastAsia="黑体" w:cs="Times New Roman"/>
              <w:color w:val="auto"/>
              <w:sz w:val="24"/>
              <w:szCs w:val="56"/>
              <w:highlight w:val="none"/>
              <w:lang w:val="en-US" w:eastAsia="zh-CN"/>
            </w:rPr>
            <w:t>1</w:t>
          </w:r>
          <w:r>
            <w:rPr>
              <w:rFonts w:hint="eastAsia" w:eastAsia="黑体" w:cs="Times New Roman"/>
              <w:color w:val="auto"/>
              <w:sz w:val="24"/>
              <w:szCs w:val="56"/>
              <w:highlight w:val="none"/>
              <w:lang w:val="en-US" w:eastAsia="zh-CN"/>
            </w:rPr>
            <w:t>建设项目及项目区概况</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_Toc3588 \h </w:instrText>
          </w:r>
          <w:r>
            <w:rPr>
              <w:color w:val="auto"/>
              <w:sz w:val="24"/>
              <w:szCs w:val="24"/>
              <w:highlight w:val="none"/>
            </w:rPr>
            <w:fldChar w:fldCharType="separate"/>
          </w:r>
          <w:r>
            <w:rPr>
              <w:color w:val="auto"/>
              <w:sz w:val="24"/>
              <w:szCs w:val="24"/>
              <w:highlight w:val="none"/>
            </w:rPr>
            <w:t>1</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_Toc5275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8"/>
              <w:highlight w:val="none"/>
              <w:lang w:val="en-US" w:eastAsia="zh-CN"/>
            </w:rPr>
            <w:t>1.1</w:t>
          </w:r>
          <w:r>
            <w:rPr>
              <w:rFonts w:hint="eastAsia" w:cs="Times New Roman"/>
              <w:bCs/>
              <w:color w:val="auto"/>
              <w:sz w:val="24"/>
              <w:szCs w:val="48"/>
              <w:highlight w:val="none"/>
              <w:lang w:val="en-US" w:eastAsia="zh-CN"/>
            </w:rPr>
            <w:t>项目概况</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_Toc5275 \h </w:instrText>
          </w:r>
          <w:r>
            <w:rPr>
              <w:color w:val="auto"/>
              <w:sz w:val="24"/>
              <w:szCs w:val="24"/>
              <w:highlight w:val="none"/>
            </w:rPr>
            <w:fldChar w:fldCharType="separate"/>
          </w:r>
          <w:r>
            <w:rPr>
              <w:color w:val="auto"/>
              <w:sz w:val="24"/>
              <w:szCs w:val="24"/>
              <w:highlight w:val="none"/>
            </w:rPr>
            <w:t>1</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_Toc31664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1.1.1</w:t>
          </w:r>
          <w:r>
            <w:rPr>
              <w:rFonts w:hint="eastAsia" w:cs="Times New Roman"/>
              <w:bCs/>
              <w:color w:val="auto"/>
              <w:sz w:val="24"/>
              <w:szCs w:val="40"/>
              <w:highlight w:val="none"/>
              <w:vertAlign w:val="baseline"/>
              <w:lang w:val="en-US" w:eastAsia="zh-CN"/>
            </w:rPr>
            <w:t>工程基本情况</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_Toc31664 \h </w:instrText>
          </w:r>
          <w:r>
            <w:rPr>
              <w:color w:val="auto"/>
              <w:sz w:val="24"/>
              <w:szCs w:val="24"/>
              <w:highlight w:val="none"/>
            </w:rPr>
            <w:fldChar w:fldCharType="separate"/>
          </w:r>
          <w:r>
            <w:rPr>
              <w:color w:val="auto"/>
              <w:sz w:val="24"/>
              <w:szCs w:val="24"/>
              <w:highlight w:val="none"/>
            </w:rPr>
            <w:t>1</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_Toc9813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1.1.</w:t>
          </w:r>
          <w:r>
            <w:rPr>
              <w:rFonts w:hint="eastAsia" w:cs="Times New Roman"/>
              <w:bCs/>
              <w:color w:val="auto"/>
              <w:sz w:val="24"/>
              <w:szCs w:val="40"/>
              <w:highlight w:val="none"/>
              <w:vertAlign w:val="baseline"/>
              <w:lang w:val="en-US" w:eastAsia="zh-CN"/>
            </w:rPr>
            <w:t>2项目组成</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_Toc9813 \h </w:instrText>
          </w:r>
          <w:r>
            <w:rPr>
              <w:color w:val="auto"/>
              <w:sz w:val="24"/>
              <w:szCs w:val="24"/>
              <w:highlight w:val="none"/>
            </w:rPr>
            <w:fldChar w:fldCharType="separate"/>
          </w:r>
          <w:r>
            <w:rPr>
              <w:color w:val="auto"/>
              <w:sz w:val="24"/>
              <w:szCs w:val="24"/>
              <w:highlight w:val="none"/>
            </w:rPr>
            <w:t>1</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_Toc21866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1.1.</w:t>
          </w:r>
          <w:r>
            <w:rPr>
              <w:rFonts w:hint="eastAsia" w:cs="Times New Roman"/>
              <w:bCs/>
              <w:color w:val="auto"/>
              <w:sz w:val="24"/>
              <w:szCs w:val="40"/>
              <w:highlight w:val="none"/>
              <w:vertAlign w:val="baseline"/>
              <w:lang w:val="en-US" w:eastAsia="zh-CN"/>
            </w:rPr>
            <w:t>3工程进度安排</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_Toc21866 \h </w:instrText>
          </w:r>
          <w:r>
            <w:rPr>
              <w:color w:val="auto"/>
              <w:sz w:val="24"/>
              <w:szCs w:val="24"/>
              <w:highlight w:val="none"/>
            </w:rPr>
            <w:fldChar w:fldCharType="separate"/>
          </w:r>
          <w:r>
            <w:rPr>
              <w:color w:val="auto"/>
              <w:sz w:val="24"/>
              <w:szCs w:val="24"/>
              <w:highlight w:val="none"/>
            </w:rPr>
            <w:t>2</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_Toc3855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1.1.</w:t>
          </w:r>
          <w:r>
            <w:rPr>
              <w:rFonts w:hint="eastAsia" w:cs="Times New Roman"/>
              <w:bCs/>
              <w:color w:val="auto"/>
              <w:sz w:val="24"/>
              <w:szCs w:val="40"/>
              <w:highlight w:val="none"/>
              <w:vertAlign w:val="baseline"/>
              <w:lang w:val="en-US" w:eastAsia="zh-CN"/>
            </w:rPr>
            <w:t>4土石方及投资情况</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_Toc3855 \h </w:instrText>
          </w:r>
          <w:r>
            <w:rPr>
              <w:color w:val="auto"/>
              <w:sz w:val="24"/>
              <w:szCs w:val="24"/>
              <w:highlight w:val="none"/>
            </w:rPr>
            <w:fldChar w:fldCharType="separate"/>
          </w:r>
          <w:r>
            <w:rPr>
              <w:color w:val="auto"/>
              <w:sz w:val="24"/>
              <w:szCs w:val="24"/>
              <w:highlight w:val="none"/>
            </w:rPr>
            <w:t>3</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_Toc20903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8"/>
              <w:highlight w:val="none"/>
              <w:lang w:val="en-US" w:eastAsia="zh-CN"/>
            </w:rPr>
            <w:t>1.</w:t>
          </w:r>
          <w:r>
            <w:rPr>
              <w:rFonts w:hint="eastAsia" w:cs="Times New Roman"/>
              <w:bCs/>
              <w:color w:val="auto"/>
              <w:sz w:val="24"/>
              <w:szCs w:val="48"/>
              <w:highlight w:val="none"/>
              <w:lang w:val="en-US" w:eastAsia="zh-CN"/>
            </w:rPr>
            <w:t>2项目区概况</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_Toc20903 \h </w:instrText>
          </w:r>
          <w:r>
            <w:rPr>
              <w:color w:val="auto"/>
              <w:sz w:val="24"/>
              <w:szCs w:val="24"/>
              <w:highlight w:val="none"/>
            </w:rPr>
            <w:fldChar w:fldCharType="separate"/>
          </w:r>
          <w:r>
            <w:rPr>
              <w:color w:val="auto"/>
              <w:sz w:val="24"/>
              <w:szCs w:val="24"/>
              <w:highlight w:val="none"/>
            </w:rPr>
            <w:t>3</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_Toc11963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1.</w:t>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1气象</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_Toc11963 \h </w:instrText>
          </w:r>
          <w:r>
            <w:rPr>
              <w:color w:val="auto"/>
              <w:sz w:val="24"/>
              <w:szCs w:val="24"/>
              <w:highlight w:val="none"/>
            </w:rPr>
            <w:fldChar w:fldCharType="separate"/>
          </w:r>
          <w:r>
            <w:rPr>
              <w:color w:val="auto"/>
              <w:sz w:val="24"/>
              <w:szCs w:val="24"/>
              <w:highlight w:val="none"/>
            </w:rPr>
            <w:t>3</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_Toc3733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1.</w:t>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2地形地貌</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_Toc3733 \h </w:instrText>
          </w:r>
          <w:r>
            <w:rPr>
              <w:color w:val="auto"/>
              <w:sz w:val="24"/>
              <w:szCs w:val="24"/>
              <w:highlight w:val="none"/>
            </w:rPr>
            <w:fldChar w:fldCharType="separate"/>
          </w:r>
          <w:r>
            <w:rPr>
              <w:color w:val="auto"/>
              <w:sz w:val="24"/>
              <w:szCs w:val="24"/>
              <w:highlight w:val="none"/>
            </w:rPr>
            <w:t>3</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_Toc6324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1.</w:t>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3水文</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_Toc6324 \h </w:instrText>
          </w:r>
          <w:r>
            <w:rPr>
              <w:color w:val="auto"/>
              <w:sz w:val="24"/>
              <w:szCs w:val="24"/>
              <w:highlight w:val="none"/>
            </w:rPr>
            <w:fldChar w:fldCharType="separate"/>
          </w:r>
          <w:r>
            <w:rPr>
              <w:color w:val="auto"/>
              <w:sz w:val="24"/>
              <w:szCs w:val="24"/>
              <w:highlight w:val="none"/>
            </w:rPr>
            <w:t>4</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_Toc4230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1.</w:t>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4地质地震</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_Toc4230 \h </w:instrText>
          </w:r>
          <w:r>
            <w:rPr>
              <w:color w:val="auto"/>
              <w:sz w:val="24"/>
              <w:szCs w:val="24"/>
              <w:highlight w:val="none"/>
            </w:rPr>
            <w:fldChar w:fldCharType="separate"/>
          </w:r>
          <w:r>
            <w:rPr>
              <w:color w:val="auto"/>
              <w:sz w:val="24"/>
              <w:szCs w:val="24"/>
              <w:highlight w:val="none"/>
            </w:rPr>
            <w:t>4</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_Toc27889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1.</w:t>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5土壤植被</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_Toc27889 \h </w:instrText>
          </w:r>
          <w:r>
            <w:rPr>
              <w:color w:val="auto"/>
              <w:sz w:val="24"/>
              <w:szCs w:val="24"/>
              <w:highlight w:val="none"/>
            </w:rPr>
            <w:fldChar w:fldCharType="separate"/>
          </w:r>
          <w:r>
            <w:rPr>
              <w:color w:val="auto"/>
              <w:sz w:val="24"/>
              <w:szCs w:val="24"/>
              <w:highlight w:val="none"/>
            </w:rPr>
            <w:t>5</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_Toc14519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8"/>
              <w:highlight w:val="none"/>
              <w:lang w:val="en-US" w:eastAsia="zh-CN"/>
            </w:rPr>
            <w:t>1.</w:t>
          </w:r>
          <w:r>
            <w:rPr>
              <w:rFonts w:hint="eastAsia" w:cs="Times New Roman"/>
              <w:bCs/>
              <w:color w:val="auto"/>
              <w:sz w:val="24"/>
              <w:szCs w:val="48"/>
              <w:highlight w:val="none"/>
              <w:lang w:val="en-US" w:eastAsia="zh-CN"/>
            </w:rPr>
            <w:t>3生产建设项目水土流失防治布局</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_Toc14519 \h </w:instrText>
          </w:r>
          <w:r>
            <w:rPr>
              <w:color w:val="auto"/>
              <w:sz w:val="24"/>
              <w:szCs w:val="24"/>
              <w:highlight w:val="none"/>
            </w:rPr>
            <w:fldChar w:fldCharType="separate"/>
          </w:r>
          <w:r>
            <w:rPr>
              <w:color w:val="auto"/>
              <w:sz w:val="24"/>
              <w:szCs w:val="24"/>
              <w:highlight w:val="none"/>
            </w:rPr>
            <w:t>6</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_Toc27717 </w:instrText>
          </w:r>
          <w:r>
            <w:rPr>
              <w:rFonts w:hint="default"/>
              <w:color w:val="auto"/>
              <w:sz w:val="24"/>
              <w:szCs w:val="40"/>
              <w:highlight w:val="none"/>
              <w:lang w:val="en-US" w:eastAsia="zh-CN"/>
            </w:rPr>
            <w:fldChar w:fldCharType="separate"/>
          </w:r>
          <w:r>
            <w:rPr>
              <w:rFonts w:hint="eastAsia" w:ascii="Times New Roman" w:hAnsi="Times New Roman" w:cs="Times New Roman"/>
              <w:bCs/>
              <w:color w:val="auto"/>
              <w:sz w:val="24"/>
              <w:szCs w:val="40"/>
              <w:highlight w:val="none"/>
              <w:vertAlign w:val="baseline"/>
              <w:lang w:val="en-US" w:eastAsia="zh-CN"/>
            </w:rPr>
            <w:t>1.3.1水土流失防治责任范围</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_Toc27717 \h </w:instrText>
          </w:r>
          <w:r>
            <w:rPr>
              <w:color w:val="auto"/>
              <w:sz w:val="24"/>
              <w:szCs w:val="24"/>
              <w:highlight w:val="none"/>
            </w:rPr>
            <w:fldChar w:fldCharType="separate"/>
          </w:r>
          <w:r>
            <w:rPr>
              <w:color w:val="auto"/>
              <w:sz w:val="24"/>
              <w:szCs w:val="24"/>
              <w:highlight w:val="none"/>
            </w:rPr>
            <w:t>6</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_Toc7983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1.</w:t>
          </w:r>
          <w:r>
            <w:rPr>
              <w:rFonts w:hint="eastAsia" w:cs="Times New Roman"/>
              <w:bCs/>
              <w:color w:val="auto"/>
              <w:sz w:val="24"/>
              <w:szCs w:val="40"/>
              <w:highlight w:val="none"/>
              <w:vertAlign w:val="baseline"/>
              <w:lang w:val="en-US" w:eastAsia="zh-CN"/>
            </w:rPr>
            <w:t>3</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2方案防治目标</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_Toc7983 \h </w:instrText>
          </w:r>
          <w:r>
            <w:rPr>
              <w:color w:val="auto"/>
              <w:sz w:val="24"/>
              <w:szCs w:val="24"/>
              <w:highlight w:val="none"/>
            </w:rPr>
            <w:fldChar w:fldCharType="separate"/>
          </w:r>
          <w:r>
            <w:rPr>
              <w:color w:val="auto"/>
              <w:sz w:val="24"/>
              <w:szCs w:val="24"/>
              <w:highlight w:val="none"/>
            </w:rPr>
            <w:t>7</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_Toc10021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1.</w:t>
          </w:r>
          <w:r>
            <w:rPr>
              <w:rFonts w:hint="eastAsia" w:cs="Times New Roman"/>
              <w:bCs/>
              <w:color w:val="auto"/>
              <w:sz w:val="24"/>
              <w:szCs w:val="40"/>
              <w:highlight w:val="none"/>
              <w:vertAlign w:val="baseline"/>
              <w:lang w:val="en-US" w:eastAsia="zh-CN"/>
            </w:rPr>
            <w:t>3</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3水土流失防治措施布局</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_Toc10021 \h </w:instrText>
          </w:r>
          <w:r>
            <w:rPr>
              <w:color w:val="auto"/>
              <w:sz w:val="24"/>
              <w:szCs w:val="24"/>
              <w:highlight w:val="none"/>
            </w:rPr>
            <w:fldChar w:fldCharType="separate"/>
          </w:r>
          <w:r>
            <w:rPr>
              <w:color w:val="auto"/>
              <w:sz w:val="24"/>
              <w:szCs w:val="24"/>
              <w:highlight w:val="none"/>
            </w:rPr>
            <w:t>7</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_Toc20692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0"/>
              <w:highlight w:val="none"/>
              <w:vertAlign w:val="baseline"/>
              <w:lang w:val="en-US" w:eastAsia="zh-CN"/>
            </w:rPr>
            <w:t xml:space="preserve">1.3.4 </w:t>
          </w:r>
          <w:r>
            <w:rPr>
              <w:rFonts w:hint="eastAsia" w:cs="Times New Roman"/>
              <w:bCs/>
              <w:color w:val="auto"/>
              <w:sz w:val="24"/>
              <w:szCs w:val="40"/>
              <w:highlight w:val="none"/>
              <w:vertAlign w:val="baseline"/>
              <w:lang w:val="en-US" w:eastAsia="zh-CN"/>
            </w:rPr>
            <w:t>水土保持措施实施进度</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_Toc20692 \h </w:instrText>
          </w:r>
          <w:r>
            <w:rPr>
              <w:color w:val="auto"/>
              <w:sz w:val="24"/>
              <w:szCs w:val="24"/>
              <w:highlight w:val="none"/>
            </w:rPr>
            <w:fldChar w:fldCharType="separate"/>
          </w:r>
          <w:r>
            <w:rPr>
              <w:color w:val="auto"/>
              <w:sz w:val="24"/>
              <w:szCs w:val="24"/>
              <w:highlight w:val="none"/>
            </w:rPr>
            <w:t>10</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_Toc25605 </w:instrText>
          </w:r>
          <w:r>
            <w:rPr>
              <w:rFonts w:hint="default"/>
              <w:color w:val="auto"/>
              <w:sz w:val="24"/>
              <w:szCs w:val="40"/>
              <w:highlight w:val="none"/>
              <w:lang w:val="en-US" w:eastAsia="zh-CN"/>
            </w:rPr>
            <w:fldChar w:fldCharType="separate"/>
          </w:r>
          <w:r>
            <w:rPr>
              <w:rFonts w:hint="default" w:ascii="Times New Roman" w:hAnsi="Times New Roman" w:cs="Times New Roman"/>
              <w:bCs/>
              <w:color w:val="auto"/>
              <w:sz w:val="24"/>
              <w:szCs w:val="48"/>
              <w:highlight w:val="none"/>
              <w:lang w:val="en-US" w:eastAsia="zh-CN"/>
            </w:rPr>
            <w:t>1.4 监测准备期现场调查评价</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_Toc25605 \h </w:instrText>
          </w:r>
          <w:r>
            <w:rPr>
              <w:color w:val="auto"/>
              <w:sz w:val="24"/>
              <w:szCs w:val="24"/>
              <w:highlight w:val="none"/>
            </w:rPr>
            <w:fldChar w:fldCharType="separate"/>
          </w:r>
          <w:r>
            <w:rPr>
              <w:color w:val="auto"/>
              <w:sz w:val="24"/>
              <w:szCs w:val="24"/>
              <w:highlight w:val="none"/>
            </w:rPr>
            <w:t>10</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_Toc15077 </w:instrText>
          </w:r>
          <w:r>
            <w:rPr>
              <w:rFonts w:hint="default"/>
              <w:color w:val="auto"/>
              <w:sz w:val="24"/>
              <w:szCs w:val="40"/>
              <w:highlight w:val="none"/>
              <w:lang w:val="en-US" w:eastAsia="zh-CN"/>
            </w:rPr>
            <w:fldChar w:fldCharType="separate"/>
          </w:r>
          <w:r>
            <w:rPr>
              <w:rFonts w:hint="eastAsia" w:eastAsia="黑体" w:cs="Times New Roman"/>
              <w:color w:val="auto"/>
              <w:sz w:val="24"/>
              <w:szCs w:val="56"/>
              <w:highlight w:val="none"/>
              <w:lang w:val="en-US" w:eastAsia="zh-CN"/>
            </w:rPr>
            <w:t>2水土保持监测布局</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_Toc15077 \h </w:instrText>
          </w:r>
          <w:r>
            <w:rPr>
              <w:color w:val="auto"/>
              <w:sz w:val="24"/>
              <w:szCs w:val="24"/>
              <w:highlight w:val="none"/>
            </w:rPr>
            <w:fldChar w:fldCharType="separate"/>
          </w:r>
          <w:r>
            <w:rPr>
              <w:color w:val="auto"/>
              <w:sz w:val="24"/>
              <w:szCs w:val="24"/>
              <w:highlight w:val="none"/>
            </w:rPr>
            <w:t>11</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_Toc344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2.1监测目标与任务</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_Toc344 \h </w:instrText>
          </w:r>
          <w:r>
            <w:rPr>
              <w:color w:val="auto"/>
              <w:sz w:val="24"/>
              <w:szCs w:val="24"/>
              <w:highlight w:val="none"/>
            </w:rPr>
            <w:fldChar w:fldCharType="separate"/>
          </w:r>
          <w:r>
            <w:rPr>
              <w:color w:val="auto"/>
              <w:sz w:val="24"/>
              <w:szCs w:val="24"/>
              <w:highlight w:val="none"/>
            </w:rPr>
            <w:t>11</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_Toc6006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.1.1</w:t>
          </w:r>
          <w:r>
            <w:rPr>
              <w:rFonts w:hint="eastAsia" w:cs="Times New Roman"/>
              <w:bCs/>
              <w:color w:val="auto"/>
              <w:sz w:val="24"/>
              <w:szCs w:val="40"/>
              <w:highlight w:val="none"/>
              <w:vertAlign w:val="baseline"/>
              <w:lang w:val="en-US" w:eastAsia="zh-CN"/>
            </w:rPr>
            <w:t>监测目标</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_Toc6006 \h </w:instrText>
          </w:r>
          <w:r>
            <w:rPr>
              <w:color w:val="auto"/>
              <w:sz w:val="24"/>
              <w:szCs w:val="24"/>
              <w:highlight w:val="none"/>
            </w:rPr>
            <w:fldChar w:fldCharType="separate"/>
          </w:r>
          <w:r>
            <w:rPr>
              <w:color w:val="auto"/>
              <w:sz w:val="24"/>
              <w:szCs w:val="24"/>
              <w:highlight w:val="none"/>
            </w:rPr>
            <w:t>11</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_Toc30887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.1.</w:t>
          </w:r>
          <w:r>
            <w:rPr>
              <w:rFonts w:hint="eastAsia" w:cs="Times New Roman"/>
              <w:bCs/>
              <w:color w:val="auto"/>
              <w:sz w:val="24"/>
              <w:szCs w:val="40"/>
              <w:highlight w:val="none"/>
              <w:vertAlign w:val="baseline"/>
              <w:lang w:val="en-US" w:eastAsia="zh-CN"/>
            </w:rPr>
            <w:t>2监测任务</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_Toc30887 \h </w:instrText>
          </w:r>
          <w:r>
            <w:rPr>
              <w:color w:val="auto"/>
              <w:sz w:val="24"/>
              <w:szCs w:val="24"/>
              <w:highlight w:val="none"/>
            </w:rPr>
            <w:fldChar w:fldCharType="separate"/>
          </w:r>
          <w:r>
            <w:rPr>
              <w:color w:val="auto"/>
              <w:sz w:val="24"/>
              <w:szCs w:val="24"/>
              <w:highlight w:val="none"/>
            </w:rPr>
            <w:t>11</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_Toc2726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2.2监测范围及分区</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_Toc2726 \h </w:instrText>
          </w:r>
          <w:r>
            <w:rPr>
              <w:color w:val="auto"/>
              <w:sz w:val="24"/>
              <w:szCs w:val="24"/>
              <w:highlight w:val="none"/>
            </w:rPr>
            <w:fldChar w:fldCharType="separate"/>
          </w:r>
          <w:r>
            <w:rPr>
              <w:color w:val="auto"/>
              <w:sz w:val="24"/>
              <w:szCs w:val="24"/>
              <w:highlight w:val="none"/>
            </w:rPr>
            <w:t>12</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_Toc4965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2.3监测重点和监测布局</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_Toc4965 \h </w:instrText>
          </w:r>
          <w:r>
            <w:rPr>
              <w:color w:val="auto"/>
              <w:sz w:val="24"/>
              <w:szCs w:val="24"/>
              <w:highlight w:val="none"/>
            </w:rPr>
            <w:fldChar w:fldCharType="separate"/>
          </w:r>
          <w:r>
            <w:rPr>
              <w:color w:val="auto"/>
              <w:sz w:val="24"/>
              <w:szCs w:val="24"/>
              <w:highlight w:val="none"/>
            </w:rPr>
            <w:t>12</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40"/>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_Toc24227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3.1监测重点</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_Toc24227 \h </w:instrText>
          </w:r>
          <w:r>
            <w:rPr>
              <w:color w:val="auto"/>
              <w:sz w:val="24"/>
              <w:szCs w:val="24"/>
              <w:highlight w:val="none"/>
            </w:rPr>
            <w:fldChar w:fldCharType="separate"/>
          </w:r>
          <w:r>
            <w:rPr>
              <w:color w:val="auto"/>
              <w:sz w:val="24"/>
              <w:szCs w:val="24"/>
              <w:highlight w:val="none"/>
            </w:rPr>
            <w:t>12</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40"/>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_Toc10091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3.2监测布局</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_Toc10091 \h </w:instrText>
          </w:r>
          <w:r>
            <w:rPr>
              <w:color w:val="auto"/>
              <w:sz w:val="24"/>
              <w:szCs w:val="24"/>
              <w:highlight w:val="none"/>
            </w:rPr>
            <w:fldChar w:fldCharType="separate"/>
          </w:r>
          <w:r>
            <w:rPr>
              <w:color w:val="auto"/>
              <w:sz w:val="24"/>
              <w:szCs w:val="24"/>
              <w:highlight w:val="none"/>
            </w:rPr>
            <w:t>12</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_Toc31931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2.4监测时段和工作进度</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_Toc31931 \h </w:instrText>
          </w:r>
          <w:r>
            <w:rPr>
              <w:color w:val="auto"/>
              <w:sz w:val="24"/>
              <w:szCs w:val="24"/>
              <w:highlight w:val="none"/>
            </w:rPr>
            <w:fldChar w:fldCharType="separate"/>
          </w:r>
          <w:r>
            <w:rPr>
              <w:color w:val="auto"/>
              <w:sz w:val="24"/>
              <w:szCs w:val="24"/>
              <w:highlight w:val="none"/>
            </w:rPr>
            <w:t>13</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40"/>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_Toc8255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4.1监测时段</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_Toc8255 \h </w:instrText>
          </w:r>
          <w:r>
            <w:rPr>
              <w:color w:val="auto"/>
              <w:sz w:val="24"/>
              <w:szCs w:val="24"/>
              <w:highlight w:val="none"/>
            </w:rPr>
            <w:fldChar w:fldCharType="separate"/>
          </w:r>
          <w:r>
            <w:rPr>
              <w:color w:val="auto"/>
              <w:sz w:val="24"/>
              <w:szCs w:val="24"/>
              <w:highlight w:val="none"/>
            </w:rPr>
            <w:t>13</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40"/>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_Toc29708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4.1工作进度</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_Toc29708 \h </w:instrText>
          </w:r>
          <w:r>
            <w:rPr>
              <w:color w:val="auto"/>
              <w:sz w:val="24"/>
              <w:szCs w:val="24"/>
              <w:highlight w:val="none"/>
            </w:rPr>
            <w:fldChar w:fldCharType="separate"/>
          </w:r>
          <w:r>
            <w:rPr>
              <w:color w:val="auto"/>
              <w:sz w:val="24"/>
              <w:szCs w:val="24"/>
              <w:highlight w:val="none"/>
            </w:rPr>
            <w:t>13</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_Toc907 </w:instrText>
          </w:r>
          <w:r>
            <w:rPr>
              <w:rFonts w:hint="default"/>
              <w:color w:val="auto"/>
              <w:sz w:val="24"/>
              <w:szCs w:val="40"/>
              <w:highlight w:val="none"/>
              <w:lang w:val="en-US" w:eastAsia="zh-CN"/>
            </w:rPr>
            <w:fldChar w:fldCharType="separate"/>
          </w:r>
          <w:r>
            <w:rPr>
              <w:rFonts w:hint="eastAsia" w:eastAsia="黑体" w:cs="Times New Roman"/>
              <w:bCs/>
              <w:color w:val="auto"/>
              <w:sz w:val="24"/>
              <w:szCs w:val="56"/>
              <w:highlight w:val="none"/>
              <w:lang w:val="en-US" w:eastAsia="zh-CN"/>
            </w:rPr>
            <w:t>3</w:t>
          </w:r>
          <w:r>
            <w:rPr>
              <w:rFonts w:hint="eastAsia" w:eastAsia="黑体" w:cs="Times New Roman"/>
              <w:bCs w:val="0"/>
              <w:color w:val="auto"/>
              <w:sz w:val="24"/>
              <w:szCs w:val="56"/>
              <w:highlight w:val="none"/>
              <w:lang w:val="en-US" w:eastAsia="zh-CN"/>
            </w:rPr>
            <w:t>监测内容和方法</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_Toc907 \h </w:instrText>
          </w:r>
          <w:r>
            <w:rPr>
              <w:color w:val="auto"/>
              <w:sz w:val="24"/>
              <w:szCs w:val="24"/>
              <w:highlight w:val="none"/>
            </w:rPr>
            <w:fldChar w:fldCharType="separate"/>
          </w:r>
          <w:r>
            <w:rPr>
              <w:color w:val="auto"/>
              <w:sz w:val="24"/>
              <w:szCs w:val="24"/>
              <w:highlight w:val="none"/>
            </w:rPr>
            <w:t>15</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_Toc8845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3.1施工准备期</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_Toc8845 \h </w:instrText>
          </w:r>
          <w:r>
            <w:rPr>
              <w:color w:val="auto"/>
              <w:sz w:val="24"/>
              <w:szCs w:val="24"/>
              <w:highlight w:val="none"/>
            </w:rPr>
            <w:fldChar w:fldCharType="separate"/>
          </w:r>
          <w:r>
            <w:rPr>
              <w:color w:val="auto"/>
              <w:sz w:val="24"/>
              <w:szCs w:val="24"/>
              <w:highlight w:val="none"/>
            </w:rPr>
            <w:t>15</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_Toc21114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3.2工程建设期</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_Toc21114 \h </w:instrText>
          </w:r>
          <w:r>
            <w:rPr>
              <w:color w:val="auto"/>
              <w:sz w:val="24"/>
              <w:szCs w:val="24"/>
              <w:highlight w:val="none"/>
            </w:rPr>
            <w:fldChar w:fldCharType="separate"/>
          </w:r>
          <w:r>
            <w:rPr>
              <w:color w:val="auto"/>
              <w:sz w:val="24"/>
              <w:szCs w:val="24"/>
              <w:highlight w:val="none"/>
            </w:rPr>
            <w:t>15</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_Toc31623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3</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.1</w:t>
          </w:r>
          <w:r>
            <w:rPr>
              <w:rFonts w:hint="eastAsia" w:cs="Times New Roman"/>
              <w:bCs/>
              <w:color w:val="auto"/>
              <w:sz w:val="24"/>
              <w:szCs w:val="40"/>
              <w:highlight w:val="none"/>
              <w:vertAlign w:val="baseline"/>
              <w:lang w:val="en-US" w:eastAsia="zh-CN"/>
            </w:rPr>
            <w:t>水土流失影响因子</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_Toc31623 \h </w:instrText>
          </w:r>
          <w:r>
            <w:rPr>
              <w:color w:val="auto"/>
              <w:sz w:val="24"/>
              <w:szCs w:val="24"/>
              <w:highlight w:val="none"/>
            </w:rPr>
            <w:fldChar w:fldCharType="separate"/>
          </w:r>
          <w:r>
            <w:rPr>
              <w:color w:val="auto"/>
              <w:sz w:val="24"/>
              <w:szCs w:val="24"/>
              <w:highlight w:val="none"/>
            </w:rPr>
            <w:t>15</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_Toc30421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3</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2水土流失状况</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_Toc30421 \h </w:instrText>
          </w:r>
          <w:r>
            <w:rPr>
              <w:color w:val="auto"/>
              <w:sz w:val="24"/>
              <w:szCs w:val="24"/>
              <w:highlight w:val="none"/>
            </w:rPr>
            <w:fldChar w:fldCharType="separate"/>
          </w:r>
          <w:r>
            <w:rPr>
              <w:color w:val="auto"/>
              <w:sz w:val="24"/>
              <w:szCs w:val="24"/>
              <w:highlight w:val="none"/>
            </w:rPr>
            <w:t>16</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_Toc32442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3</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3水土流失危害</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_Toc32442 \h </w:instrText>
          </w:r>
          <w:r>
            <w:rPr>
              <w:color w:val="auto"/>
              <w:sz w:val="24"/>
              <w:szCs w:val="24"/>
              <w:highlight w:val="none"/>
            </w:rPr>
            <w:fldChar w:fldCharType="separate"/>
          </w:r>
          <w:r>
            <w:rPr>
              <w:color w:val="auto"/>
              <w:sz w:val="24"/>
              <w:szCs w:val="24"/>
              <w:highlight w:val="none"/>
            </w:rPr>
            <w:t>17</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_Toc8717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3</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4水土保持措施及效果</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_Toc8717 \h </w:instrText>
          </w:r>
          <w:r>
            <w:rPr>
              <w:color w:val="auto"/>
              <w:sz w:val="24"/>
              <w:szCs w:val="24"/>
              <w:highlight w:val="none"/>
            </w:rPr>
            <w:fldChar w:fldCharType="separate"/>
          </w:r>
          <w:r>
            <w:rPr>
              <w:color w:val="auto"/>
              <w:sz w:val="24"/>
              <w:szCs w:val="24"/>
              <w:highlight w:val="none"/>
            </w:rPr>
            <w:t>17</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_Toc19903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3.3监测方法</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_Toc19903 \h </w:instrText>
          </w:r>
          <w:r>
            <w:rPr>
              <w:color w:val="auto"/>
              <w:sz w:val="24"/>
              <w:szCs w:val="24"/>
              <w:highlight w:val="none"/>
            </w:rPr>
            <w:fldChar w:fldCharType="separate"/>
          </w:r>
          <w:r>
            <w:rPr>
              <w:color w:val="auto"/>
              <w:sz w:val="24"/>
              <w:szCs w:val="24"/>
              <w:highlight w:val="none"/>
            </w:rPr>
            <w:t>17</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40"/>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_Toc30105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3</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3</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1水土流失影响因子监测方法</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_Toc30105 \h </w:instrText>
          </w:r>
          <w:r>
            <w:rPr>
              <w:color w:val="auto"/>
              <w:sz w:val="24"/>
              <w:szCs w:val="24"/>
              <w:highlight w:val="none"/>
            </w:rPr>
            <w:fldChar w:fldCharType="separate"/>
          </w:r>
          <w:r>
            <w:rPr>
              <w:color w:val="auto"/>
              <w:sz w:val="24"/>
              <w:szCs w:val="24"/>
              <w:highlight w:val="none"/>
            </w:rPr>
            <w:t>19</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40"/>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_Toc31080 </w:instrText>
          </w:r>
          <w:r>
            <w:rPr>
              <w:rFonts w:hint="default"/>
              <w:color w:val="auto"/>
              <w:sz w:val="24"/>
              <w:szCs w:val="40"/>
              <w:highlight w:val="none"/>
              <w:lang w:val="en-US" w:eastAsia="zh-CN"/>
            </w:rPr>
            <w:fldChar w:fldCharType="separate"/>
          </w:r>
          <w:r>
            <w:rPr>
              <w:rFonts w:hint="default" w:cs="Times New Roman"/>
              <w:bCs/>
              <w:color w:val="auto"/>
              <w:sz w:val="24"/>
              <w:szCs w:val="40"/>
              <w:highlight w:val="none"/>
              <w:vertAlign w:val="baseline"/>
              <w:lang w:val="en-US" w:eastAsia="zh-CN"/>
            </w:rPr>
            <w:t xml:space="preserve">3.3.2 </w:t>
          </w:r>
          <w:r>
            <w:rPr>
              <w:rFonts w:hint="eastAsia" w:cs="Times New Roman"/>
              <w:bCs/>
              <w:color w:val="auto"/>
              <w:sz w:val="24"/>
              <w:szCs w:val="40"/>
              <w:highlight w:val="none"/>
              <w:vertAlign w:val="baseline"/>
              <w:lang w:val="en-US" w:eastAsia="zh-CN"/>
            </w:rPr>
            <w:t>水土流失状况监测</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_Toc31080 \h </w:instrText>
          </w:r>
          <w:r>
            <w:rPr>
              <w:color w:val="auto"/>
              <w:sz w:val="24"/>
              <w:szCs w:val="24"/>
              <w:highlight w:val="none"/>
            </w:rPr>
            <w:fldChar w:fldCharType="separate"/>
          </w:r>
          <w:r>
            <w:rPr>
              <w:color w:val="auto"/>
              <w:sz w:val="24"/>
              <w:szCs w:val="24"/>
              <w:highlight w:val="none"/>
            </w:rPr>
            <w:t>20</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40"/>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_Toc18262 </w:instrText>
          </w:r>
          <w:r>
            <w:rPr>
              <w:rFonts w:hint="default"/>
              <w:color w:val="auto"/>
              <w:sz w:val="24"/>
              <w:szCs w:val="40"/>
              <w:highlight w:val="none"/>
              <w:lang w:val="en-US" w:eastAsia="zh-CN"/>
            </w:rPr>
            <w:fldChar w:fldCharType="separate"/>
          </w:r>
          <w:r>
            <w:rPr>
              <w:rFonts w:hint="default" w:cs="Times New Roman"/>
              <w:bCs/>
              <w:color w:val="auto"/>
              <w:sz w:val="24"/>
              <w:szCs w:val="40"/>
              <w:highlight w:val="none"/>
              <w:vertAlign w:val="baseline"/>
              <w:lang w:val="en-US" w:eastAsia="zh-CN"/>
            </w:rPr>
            <w:t>3.3.</w:t>
          </w:r>
          <w:r>
            <w:rPr>
              <w:rFonts w:hint="eastAsia" w:cs="Times New Roman"/>
              <w:bCs/>
              <w:color w:val="auto"/>
              <w:sz w:val="24"/>
              <w:szCs w:val="40"/>
              <w:highlight w:val="none"/>
              <w:vertAlign w:val="baseline"/>
              <w:lang w:val="en-US" w:eastAsia="zh-CN"/>
            </w:rPr>
            <w:t>3</w:t>
          </w:r>
          <w:r>
            <w:rPr>
              <w:rFonts w:hint="default" w:cs="Times New Roman"/>
              <w:bCs/>
              <w:color w:val="auto"/>
              <w:sz w:val="24"/>
              <w:szCs w:val="40"/>
              <w:highlight w:val="none"/>
              <w:vertAlign w:val="baseline"/>
              <w:lang w:val="en-US" w:eastAsia="zh-CN"/>
            </w:rPr>
            <w:t xml:space="preserve"> </w:t>
          </w:r>
          <w:r>
            <w:rPr>
              <w:rFonts w:hint="eastAsia" w:cs="Times New Roman"/>
              <w:bCs/>
              <w:color w:val="auto"/>
              <w:sz w:val="24"/>
              <w:szCs w:val="40"/>
              <w:highlight w:val="none"/>
              <w:vertAlign w:val="baseline"/>
              <w:lang w:val="en-US" w:eastAsia="zh-CN"/>
            </w:rPr>
            <w:t>水土流失危害监测</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_Toc18262 \h </w:instrText>
          </w:r>
          <w:r>
            <w:rPr>
              <w:color w:val="auto"/>
              <w:sz w:val="24"/>
              <w:szCs w:val="24"/>
              <w:highlight w:val="none"/>
            </w:rPr>
            <w:fldChar w:fldCharType="separate"/>
          </w:r>
          <w:r>
            <w:rPr>
              <w:color w:val="auto"/>
              <w:sz w:val="24"/>
              <w:szCs w:val="24"/>
              <w:highlight w:val="none"/>
            </w:rPr>
            <w:t>20</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40"/>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_Toc12074 </w:instrText>
          </w:r>
          <w:r>
            <w:rPr>
              <w:rFonts w:hint="default"/>
              <w:color w:val="auto"/>
              <w:sz w:val="24"/>
              <w:szCs w:val="40"/>
              <w:highlight w:val="none"/>
              <w:lang w:val="en-US" w:eastAsia="zh-CN"/>
            </w:rPr>
            <w:fldChar w:fldCharType="separate"/>
          </w:r>
          <w:r>
            <w:rPr>
              <w:rFonts w:hint="default" w:cs="Times New Roman"/>
              <w:bCs/>
              <w:color w:val="auto"/>
              <w:sz w:val="24"/>
              <w:szCs w:val="40"/>
              <w:highlight w:val="none"/>
              <w:vertAlign w:val="baseline"/>
              <w:lang w:val="en-US" w:eastAsia="zh-CN"/>
            </w:rPr>
            <w:t>3.3.</w:t>
          </w:r>
          <w:r>
            <w:rPr>
              <w:rFonts w:hint="eastAsia" w:cs="Times New Roman"/>
              <w:bCs/>
              <w:color w:val="auto"/>
              <w:sz w:val="24"/>
              <w:szCs w:val="40"/>
              <w:highlight w:val="none"/>
              <w:vertAlign w:val="baseline"/>
              <w:lang w:val="en-US" w:eastAsia="zh-CN"/>
            </w:rPr>
            <w:t>4</w:t>
          </w:r>
          <w:r>
            <w:rPr>
              <w:rFonts w:hint="default" w:cs="Times New Roman"/>
              <w:bCs/>
              <w:color w:val="auto"/>
              <w:sz w:val="24"/>
              <w:szCs w:val="40"/>
              <w:highlight w:val="none"/>
              <w:vertAlign w:val="baseline"/>
              <w:lang w:val="en-US" w:eastAsia="zh-CN"/>
            </w:rPr>
            <w:t xml:space="preserve"> </w:t>
          </w:r>
          <w:r>
            <w:rPr>
              <w:rFonts w:hint="eastAsia" w:cs="Times New Roman"/>
              <w:bCs/>
              <w:color w:val="auto"/>
              <w:sz w:val="24"/>
              <w:szCs w:val="40"/>
              <w:highlight w:val="none"/>
              <w:vertAlign w:val="baseline"/>
              <w:lang w:val="en-US" w:eastAsia="zh-CN"/>
            </w:rPr>
            <w:t>水土保持措施及效果监测</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_Toc12074 \h </w:instrText>
          </w:r>
          <w:r>
            <w:rPr>
              <w:color w:val="auto"/>
              <w:sz w:val="24"/>
              <w:szCs w:val="24"/>
              <w:highlight w:val="none"/>
            </w:rPr>
            <w:fldChar w:fldCharType="separate"/>
          </w:r>
          <w:r>
            <w:rPr>
              <w:color w:val="auto"/>
              <w:sz w:val="24"/>
              <w:szCs w:val="24"/>
              <w:highlight w:val="none"/>
            </w:rPr>
            <w:t>21</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_Toc10693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3.4监测控制节点及频次</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_Toc10693 \h </w:instrText>
          </w:r>
          <w:r>
            <w:rPr>
              <w:color w:val="auto"/>
              <w:sz w:val="24"/>
              <w:szCs w:val="24"/>
              <w:highlight w:val="none"/>
            </w:rPr>
            <w:fldChar w:fldCharType="separate"/>
          </w:r>
          <w:r>
            <w:rPr>
              <w:color w:val="auto"/>
              <w:sz w:val="24"/>
              <w:szCs w:val="24"/>
              <w:highlight w:val="none"/>
            </w:rPr>
            <w:t>22</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_Toc28378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3</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4</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1控制节点</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_Toc28378 \h </w:instrText>
          </w:r>
          <w:r>
            <w:rPr>
              <w:color w:val="auto"/>
              <w:sz w:val="24"/>
              <w:szCs w:val="24"/>
              <w:highlight w:val="none"/>
            </w:rPr>
            <w:fldChar w:fldCharType="separate"/>
          </w:r>
          <w:r>
            <w:rPr>
              <w:color w:val="auto"/>
              <w:sz w:val="24"/>
              <w:szCs w:val="24"/>
              <w:highlight w:val="none"/>
            </w:rPr>
            <w:t>22</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_Toc24414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3</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4</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2监测频次</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_Toc24414 \h </w:instrText>
          </w:r>
          <w:r>
            <w:rPr>
              <w:color w:val="auto"/>
              <w:sz w:val="24"/>
              <w:szCs w:val="24"/>
              <w:highlight w:val="none"/>
            </w:rPr>
            <w:fldChar w:fldCharType="separate"/>
          </w:r>
          <w:r>
            <w:rPr>
              <w:color w:val="auto"/>
              <w:sz w:val="24"/>
              <w:szCs w:val="24"/>
              <w:highlight w:val="none"/>
            </w:rPr>
            <w:t>22</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_Toc29500 </w:instrText>
          </w:r>
          <w:r>
            <w:rPr>
              <w:rFonts w:hint="default"/>
              <w:color w:val="auto"/>
              <w:sz w:val="24"/>
              <w:szCs w:val="40"/>
              <w:highlight w:val="none"/>
              <w:lang w:val="en-US" w:eastAsia="zh-CN"/>
            </w:rPr>
            <w:fldChar w:fldCharType="separate"/>
          </w:r>
          <w:r>
            <w:rPr>
              <w:rFonts w:hint="eastAsia" w:eastAsia="黑体" w:cs="Times New Roman"/>
              <w:bCs/>
              <w:color w:val="auto"/>
              <w:sz w:val="24"/>
              <w:szCs w:val="56"/>
              <w:highlight w:val="none"/>
              <w:lang w:val="en-US" w:eastAsia="zh-CN"/>
            </w:rPr>
            <w:t>4</w:t>
          </w:r>
          <w:r>
            <w:rPr>
              <w:rFonts w:hint="eastAsia" w:eastAsia="黑体" w:cs="Times New Roman"/>
              <w:bCs w:val="0"/>
              <w:color w:val="auto"/>
              <w:sz w:val="24"/>
              <w:szCs w:val="56"/>
              <w:highlight w:val="none"/>
              <w:lang w:val="en-US" w:eastAsia="zh-CN"/>
            </w:rPr>
            <w:t>预期成果及形式</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_Toc29500 \h </w:instrText>
          </w:r>
          <w:r>
            <w:rPr>
              <w:color w:val="auto"/>
              <w:sz w:val="24"/>
              <w:szCs w:val="24"/>
              <w:highlight w:val="none"/>
            </w:rPr>
            <w:fldChar w:fldCharType="separate"/>
          </w:r>
          <w:r>
            <w:rPr>
              <w:color w:val="auto"/>
              <w:sz w:val="24"/>
              <w:szCs w:val="24"/>
              <w:highlight w:val="none"/>
            </w:rPr>
            <w:t>24</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_Toc22863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4.1监测记录表</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_Toc22863 \h </w:instrText>
          </w:r>
          <w:r>
            <w:rPr>
              <w:color w:val="auto"/>
              <w:sz w:val="24"/>
              <w:szCs w:val="24"/>
              <w:highlight w:val="none"/>
            </w:rPr>
            <w:fldChar w:fldCharType="separate"/>
          </w:r>
          <w:r>
            <w:rPr>
              <w:color w:val="auto"/>
              <w:sz w:val="24"/>
              <w:szCs w:val="24"/>
              <w:highlight w:val="none"/>
            </w:rPr>
            <w:t>24</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_Toc3137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4.2水土保持监测报告</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_Toc3137 \h </w:instrText>
          </w:r>
          <w:r>
            <w:rPr>
              <w:color w:val="auto"/>
              <w:sz w:val="24"/>
              <w:szCs w:val="24"/>
              <w:highlight w:val="none"/>
            </w:rPr>
            <w:fldChar w:fldCharType="separate"/>
          </w:r>
          <w:r>
            <w:rPr>
              <w:color w:val="auto"/>
              <w:sz w:val="24"/>
              <w:szCs w:val="24"/>
              <w:highlight w:val="none"/>
            </w:rPr>
            <w:t>24</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_Toc9567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4.3图片影像资料</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_Toc9567 \h </w:instrText>
          </w:r>
          <w:r>
            <w:rPr>
              <w:color w:val="auto"/>
              <w:sz w:val="24"/>
              <w:szCs w:val="24"/>
              <w:highlight w:val="none"/>
            </w:rPr>
            <w:fldChar w:fldCharType="separate"/>
          </w:r>
          <w:r>
            <w:rPr>
              <w:color w:val="auto"/>
              <w:sz w:val="24"/>
              <w:szCs w:val="24"/>
              <w:highlight w:val="none"/>
            </w:rPr>
            <w:t>25</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_Toc24539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4.3附件及附图</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_Toc24539 \h </w:instrText>
          </w:r>
          <w:r>
            <w:rPr>
              <w:color w:val="auto"/>
              <w:sz w:val="24"/>
              <w:szCs w:val="24"/>
              <w:highlight w:val="none"/>
            </w:rPr>
            <w:fldChar w:fldCharType="separate"/>
          </w:r>
          <w:r>
            <w:rPr>
              <w:color w:val="auto"/>
              <w:sz w:val="24"/>
              <w:szCs w:val="24"/>
              <w:highlight w:val="none"/>
            </w:rPr>
            <w:t>25</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_Toc3027 </w:instrText>
          </w:r>
          <w:r>
            <w:rPr>
              <w:rFonts w:hint="default"/>
              <w:color w:val="auto"/>
              <w:sz w:val="24"/>
              <w:szCs w:val="40"/>
              <w:highlight w:val="none"/>
              <w:lang w:val="en-US" w:eastAsia="zh-CN"/>
            </w:rPr>
            <w:fldChar w:fldCharType="separate"/>
          </w:r>
          <w:r>
            <w:rPr>
              <w:rFonts w:hint="eastAsia" w:eastAsia="黑体" w:cs="Times New Roman"/>
              <w:bCs/>
              <w:color w:val="auto"/>
              <w:sz w:val="24"/>
              <w:szCs w:val="56"/>
              <w:highlight w:val="none"/>
              <w:lang w:val="en-US" w:eastAsia="zh-CN"/>
            </w:rPr>
            <w:t>5</w:t>
          </w:r>
          <w:r>
            <w:rPr>
              <w:rFonts w:hint="eastAsia" w:eastAsia="黑体" w:cs="Times New Roman"/>
              <w:bCs w:val="0"/>
              <w:color w:val="auto"/>
              <w:sz w:val="24"/>
              <w:szCs w:val="56"/>
              <w:highlight w:val="none"/>
              <w:lang w:val="en-US" w:eastAsia="zh-CN"/>
            </w:rPr>
            <w:t>监测工作组织与质量保证</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_Toc3027 \h </w:instrText>
          </w:r>
          <w:r>
            <w:rPr>
              <w:color w:val="auto"/>
              <w:sz w:val="24"/>
              <w:szCs w:val="24"/>
              <w:highlight w:val="none"/>
            </w:rPr>
            <w:fldChar w:fldCharType="separate"/>
          </w:r>
          <w:r>
            <w:rPr>
              <w:color w:val="auto"/>
              <w:sz w:val="24"/>
              <w:szCs w:val="24"/>
              <w:highlight w:val="none"/>
            </w:rPr>
            <w:t>26</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_Toc28372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5.1监测人员组成</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_Toc28372 \h </w:instrText>
          </w:r>
          <w:r>
            <w:rPr>
              <w:color w:val="auto"/>
              <w:sz w:val="24"/>
              <w:szCs w:val="24"/>
              <w:highlight w:val="none"/>
            </w:rPr>
            <w:fldChar w:fldCharType="separate"/>
          </w:r>
          <w:r>
            <w:rPr>
              <w:color w:val="auto"/>
              <w:sz w:val="24"/>
              <w:szCs w:val="24"/>
              <w:highlight w:val="none"/>
            </w:rPr>
            <w:t>26</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4"/>
            <w:keepNext w:val="0"/>
            <w:keepLines w:val="0"/>
            <w:pageBreakBefore w:val="0"/>
            <w:tabs>
              <w:tab w:val="right" w:leader="dot" w:pos="8306"/>
            </w:tabs>
            <w:kinsoku/>
            <w:wordWrap/>
            <w:overflowPunct/>
            <w:topLinePunct w:val="0"/>
            <w:autoSpaceDE/>
            <w:autoSpaceDN/>
            <w:bidi w:val="0"/>
            <w:spacing w:line="360" w:lineRule="auto"/>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_Toc25987 </w:instrText>
          </w:r>
          <w:r>
            <w:rPr>
              <w:rFonts w:hint="default"/>
              <w:color w:val="auto"/>
              <w:sz w:val="24"/>
              <w:szCs w:val="40"/>
              <w:highlight w:val="none"/>
              <w:lang w:val="en-US" w:eastAsia="zh-CN"/>
            </w:rPr>
            <w:fldChar w:fldCharType="separate"/>
          </w:r>
          <w:r>
            <w:rPr>
              <w:rFonts w:hint="eastAsia" w:cs="Times New Roman"/>
              <w:bCs/>
              <w:color w:val="auto"/>
              <w:sz w:val="24"/>
              <w:szCs w:val="48"/>
              <w:highlight w:val="none"/>
              <w:lang w:val="en-US" w:eastAsia="zh-CN"/>
            </w:rPr>
            <w:t>5.2监测质量控制体系</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_Toc25987 \h </w:instrText>
          </w:r>
          <w:r>
            <w:rPr>
              <w:color w:val="auto"/>
              <w:sz w:val="24"/>
              <w:szCs w:val="24"/>
              <w:highlight w:val="none"/>
            </w:rPr>
            <w:fldChar w:fldCharType="separate"/>
          </w:r>
          <w:r>
            <w:rPr>
              <w:color w:val="auto"/>
              <w:sz w:val="24"/>
              <w:szCs w:val="24"/>
              <w:highlight w:val="none"/>
            </w:rPr>
            <w:t>26</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_Toc25874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5</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1质量控制措施</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_Toc25874 \h </w:instrText>
          </w:r>
          <w:r>
            <w:rPr>
              <w:color w:val="auto"/>
              <w:sz w:val="24"/>
              <w:szCs w:val="24"/>
              <w:highlight w:val="none"/>
            </w:rPr>
            <w:fldChar w:fldCharType="separate"/>
          </w:r>
          <w:r>
            <w:rPr>
              <w:color w:val="auto"/>
              <w:sz w:val="24"/>
              <w:szCs w:val="24"/>
              <w:highlight w:val="none"/>
            </w:rPr>
            <w:t>26</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35"/>
            <w:keepNext w:val="0"/>
            <w:keepLines w:val="0"/>
            <w:pageBreakBefore w:val="0"/>
            <w:tabs>
              <w:tab w:val="right" w:leader="dot" w:pos="8306"/>
            </w:tabs>
            <w:kinsoku/>
            <w:wordWrap/>
            <w:overflowPunct/>
            <w:topLinePunct w:val="0"/>
            <w:autoSpaceDE/>
            <w:autoSpaceDN/>
            <w:bidi w:val="0"/>
            <w:spacing w:line="360" w:lineRule="auto"/>
            <w:ind w:left="0" w:leftChars="0" w:firstLine="0" w:firstLineChars="0"/>
            <w:textAlignment w:val="auto"/>
            <w:rPr>
              <w:color w:val="auto"/>
              <w:sz w:val="24"/>
              <w:szCs w:val="24"/>
              <w:highlight w:val="none"/>
            </w:rPr>
          </w:pPr>
          <w:r>
            <w:rPr>
              <w:rFonts w:hint="default"/>
              <w:color w:val="auto"/>
              <w:sz w:val="24"/>
              <w:szCs w:val="40"/>
              <w:highlight w:val="none"/>
              <w:u w:val="single"/>
              <w:lang w:val="en-US" w:eastAsia="zh-CN"/>
            </w:rPr>
            <w:fldChar w:fldCharType="begin"/>
          </w:r>
          <w:r>
            <w:rPr>
              <w:rFonts w:hint="default"/>
              <w:color w:val="auto"/>
              <w:sz w:val="24"/>
              <w:szCs w:val="40"/>
              <w:highlight w:val="none"/>
              <w:lang w:val="en-US" w:eastAsia="zh-CN"/>
            </w:rPr>
            <w:instrText xml:space="preserve"> HYPERLINK \l _Toc13182 </w:instrText>
          </w:r>
          <w:r>
            <w:rPr>
              <w:rFonts w:hint="default"/>
              <w:color w:val="auto"/>
              <w:sz w:val="24"/>
              <w:szCs w:val="40"/>
              <w:highlight w:val="none"/>
              <w:lang w:val="en-US" w:eastAsia="zh-CN"/>
            </w:rPr>
            <w:fldChar w:fldCharType="separate"/>
          </w:r>
          <w:r>
            <w:rPr>
              <w:rFonts w:hint="eastAsia" w:cs="Times New Roman"/>
              <w:bCs/>
              <w:color w:val="auto"/>
              <w:sz w:val="24"/>
              <w:szCs w:val="40"/>
              <w:highlight w:val="none"/>
              <w:vertAlign w:val="baseline"/>
              <w:lang w:val="en-US" w:eastAsia="zh-CN"/>
            </w:rPr>
            <w:t>5</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2</w:t>
          </w:r>
          <w:r>
            <w:rPr>
              <w:rFonts w:hint="default" w:ascii="Times New Roman" w:hAnsi="Times New Roman" w:cs="Times New Roman"/>
              <w:bCs/>
              <w:color w:val="auto"/>
              <w:sz w:val="24"/>
              <w:szCs w:val="40"/>
              <w:highlight w:val="none"/>
              <w:vertAlign w:val="baseline"/>
              <w:lang w:val="en-US" w:eastAsia="zh-CN"/>
            </w:rPr>
            <w:t>.</w:t>
          </w:r>
          <w:r>
            <w:rPr>
              <w:rFonts w:hint="eastAsia" w:cs="Times New Roman"/>
              <w:bCs/>
              <w:color w:val="auto"/>
              <w:sz w:val="24"/>
              <w:szCs w:val="40"/>
              <w:highlight w:val="none"/>
              <w:vertAlign w:val="baseline"/>
              <w:lang w:val="en-US" w:eastAsia="zh-CN"/>
            </w:rPr>
            <w:t>2进度控制措施</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_Toc13182 \h </w:instrText>
          </w:r>
          <w:r>
            <w:rPr>
              <w:color w:val="auto"/>
              <w:sz w:val="24"/>
              <w:szCs w:val="24"/>
              <w:highlight w:val="none"/>
            </w:rPr>
            <w:fldChar w:fldCharType="separate"/>
          </w:r>
          <w:r>
            <w:rPr>
              <w:color w:val="auto"/>
              <w:sz w:val="24"/>
              <w:szCs w:val="24"/>
              <w:highlight w:val="none"/>
            </w:rPr>
            <w:t>27</w:t>
          </w:r>
          <w:r>
            <w:rPr>
              <w:color w:val="auto"/>
              <w:sz w:val="24"/>
              <w:szCs w:val="24"/>
              <w:highlight w:val="none"/>
            </w:rPr>
            <w:fldChar w:fldCharType="end"/>
          </w:r>
          <w:r>
            <w:rPr>
              <w:rFonts w:hint="default"/>
              <w:color w:val="auto"/>
              <w:sz w:val="24"/>
              <w:szCs w:val="40"/>
              <w:highlight w:val="none"/>
              <w:u w:val="single"/>
              <w:lang w:val="en-US" w:eastAsia="zh-CN"/>
            </w:rPr>
            <w:fldChar w:fldCharType="end"/>
          </w:r>
        </w:p>
        <w:p>
          <w:pPr>
            <w:pStyle w:val="2"/>
            <w:keepNext w:val="0"/>
            <w:keepLines w:val="0"/>
            <w:pageBreakBefore w:val="0"/>
            <w:kinsoku/>
            <w:wordWrap/>
            <w:overflowPunct/>
            <w:topLinePunct w:val="0"/>
            <w:autoSpaceDE/>
            <w:autoSpaceDN/>
            <w:bidi w:val="0"/>
            <w:spacing w:line="360" w:lineRule="auto"/>
            <w:jc w:val="center"/>
            <w:textAlignment w:val="auto"/>
            <w:rPr>
              <w:rFonts w:hint="default"/>
              <w:color w:val="auto"/>
              <w:sz w:val="28"/>
              <w:szCs w:val="28"/>
              <w:highlight w:val="none"/>
              <w:u w:val="single"/>
              <w:lang w:val="en-US" w:eastAsia="zh-CN"/>
            </w:rPr>
            <w:sectPr>
              <w:pgSz w:w="11906" w:h="16838"/>
              <w:pgMar w:top="1440" w:right="1800" w:bottom="1440" w:left="1800" w:header="851" w:footer="992" w:gutter="0"/>
              <w:cols w:space="425" w:num="1"/>
              <w:docGrid w:type="lines" w:linePitch="312" w:charSpace="0"/>
            </w:sectPr>
          </w:pPr>
          <w:r>
            <w:rPr>
              <w:rFonts w:hint="default"/>
              <w:color w:val="auto"/>
              <w:sz w:val="36"/>
              <w:szCs w:val="40"/>
              <w:highlight w:val="none"/>
              <w:u w:val="single"/>
              <w:lang w:val="en-US" w:eastAsia="zh-CN"/>
            </w:rPr>
            <w:fldChar w:fldCharType="end"/>
          </w:r>
        </w:p>
      </w:sdtContent>
    </w:sdt>
    <w:p>
      <w:pPr>
        <w:ind w:left="0" w:leftChars="0" w:firstLine="0" w:firstLineChars="0"/>
        <w:jc w:val="center"/>
        <w:outlineLvl w:val="0"/>
        <w:rPr>
          <w:rFonts w:hint="default" w:ascii="Times New Roman" w:hAnsi="Times New Roman" w:eastAsia="黑体" w:cs="Times New Roman"/>
          <w:color w:val="auto"/>
          <w:sz w:val="44"/>
          <w:szCs w:val="44"/>
          <w:highlight w:val="none"/>
          <w:lang w:val="en-US" w:eastAsia="zh-CN"/>
        </w:rPr>
      </w:pPr>
      <w:bookmarkStart w:id="58" w:name="_Toc31499"/>
      <w:bookmarkStart w:id="59" w:name="_Toc2689"/>
      <w:bookmarkStart w:id="60" w:name="_Toc3588"/>
      <w:r>
        <w:rPr>
          <w:rFonts w:hint="default" w:ascii="Times New Roman" w:hAnsi="Times New Roman" w:eastAsia="黑体" w:cs="Times New Roman"/>
          <w:color w:val="auto"/>
          <w:sz w:val="44"/>
          <w:szCs w:val="44"/>
          <w:highlight w:val="none"/>
          <w:lang w:val="en-US" w:eastAsia="zh-CN"/>
        </w:rPr>
        <w:t>1</w:t>
      </w:r>
      <w:bookmarkEnd w:id="58"/>
      <w:bookmarkEnd w:id="59"/>
      <w:r>
        <w:rPr>
          <w:rFonts w:hint="eastAsia" w:eastAsia="黑体" w:cs="Times New Roman"/>
          <w:color w:val="auto"/>
          <w:sz w:val="44"/>
          <w:szCs w:val="44"/>
          <w:highlight w:val="none"/>
          <w:lang w:val="en-US" w:eastAsia="zh-CN"/>
        </w:rPr>
        <w:t>建设项目及项目区概况</w:t>
      </w:r>
      <w:bookmarkEnd w:id="60"/>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ascii="Times New Roman" w:hAnsi="Times New Roman" w:cs="Times New Roman"/>
          <w:b/>
          <w:bCs/>
          <w:color w:val="auto"/>
          <w:sz w:val="36"/>
          <w:szCs w:val="36"/>
          <w:highlight w:val="none"/>
          <w:lang w:val="en-US" w:eastAsia="zh-CN"/>
        </w:rPr>
      </w:pPr>
      <w:bookmarkStart w:id="61" w:name="_Toc18793"/>
      <w:bookmarkStart w:id="62" w:name="_Toc9622"/>
      <w:bookmarkStart w:id="63" w:name="_Toc5275"/>
      <w:r>
        <w:rPr>
          <w:rFonts w:hint="default" w:ascii="Times New Roman" w:hAnsi="Times New Roman" w:cs="Times New Roman"/>
          <w:b/>
          <w:bCs/>
          <w:color w:val="auto"/>
          <w:sz w:val="36"/>
          <w:szCs w:val="36"/>
          <w:highlight w:val="none"/>
          <w:lang w:val="en-US" w:eastAsia="zh-CN"/>
        </w:rPr>
        <w:t>1.1</w:t>
      </w:r>
      <w:bookmarkEnd w:id="61"/>
      <w:bookmarkEnd w:id="62"/>
      <w:r>
        <w:rPr>
          <w:rFonts w:hint="eastAsia" w:cs="Times New Roman"/>
          <w:b/>
          <w:bCs/>
          <w:color w:val="auto"/>
          <w:sz w:val="36"/>
          <w:szCs w:val="36"/>
          <w:highlight w:val="none"/>
          <w:lang w:val="en-US" w:eastAsia="zh-CN"/>
        </w:rPr>
        <w:t>项目概况</w:t>
      </w:r>
      <w:bookmarkEnd w:id="63"/>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64" w:name="_Toc24925"/>
      <w:bookmarkStart w:id="65" w:name="_Toc29581"/>
      <w:bookmarkStart w:id="66" w:name="_Toc31664"/>
      <w:r>
        <w:rPr>
          <w:rFonts w:hint="default" w:ascii="Times New Roman" w:hAnsi="Times New Roman" w:cs="Times New Roman"/>
          <w:b/>
          <w:bCs/>
          <w:color w:val="auto"/>
          <w:sz w:val="28"/>
          <w:szCs w:val="28"/>
          <w:highlight w:val="none"/>
          <w:vertAlign w:val="baseline"/>
          <w:lang w:val="en-US" w:eastAsia="zh-CN"/>
        </w:rPr>
        <w:t>1.1.1</w:t>
      </w:r>
      <w:bookmarkEnd w:id="64"/>
      <w:bookmarkEnd w:id="65"/>
      <w:r>
        <w:rPr>
          <w:rFonts w:hint="eastAsia" w:cs="Times New Roman"/>
          <w:b/>
          <w:bCs/>
          <w:color w:val="auto"/>
          <w:sz w:val="28"/>
          <w:szCs w:val="28"/>
          <w:highlight w:val="none"/>
          <w:vertAlign w:val="baseline"/>
          <w:lang w:val="en-US" w:eastAsia="zh-CN"/>
        </w:rPr>
        <w:t>工程基本情况</w:t>
      </w:r>
      <w:bookmarkEnd w:id="66"/>
    </w:p>
    <w:p>
      <w:pPr>
        <w:spacing w:line="360" w:lineRule="auto"/>
        <w:rPr>
          <w:rFonts w:hint="eastAsia"/>
          <w:color w:val="auto"/>
          <w:highlight w:val="none"/>
          <w:lang w:val="en-US" w:eastAsia="zh-CN"/>
        </w:rPr>
      </w:pPr>
      <w:r>
        <w:rPr>
          <w:rFonts w:hint="eastAsia"/>
          <w:color w:val="auto"/>
          <w:highlight w:val="none"/>
          <w:lang w:val="en-US" w:eastAsia="zh-CN"/>
        </w:rPr>
        <w:t>衡阳市城市建设投资有限公司衡阳市廻雁峰公园地下停车场项目位于衡阳市雁峰区湘江西岸廻雁峰公园内，湘江左岸。地理位置位于东经112°36′35.35″，北纬26°53′21.67″。有多路公交车直达。南临交通干线衡州大道，西靠蒸阳路，东面是湘江路，紧临湘江风光带，在衡阳的远景规划中处于两轴相交处，衡阳市境内共有高速公路出口多个，有G72、G4、S80、S61等高速公路的出口，还有衡广高速公路、衡桂高速公路，水路有湘江千吨级码头多个，交通十分方便。项目区系湘江水系，项目建设单位为衡阳市城市建设投资有限公司。工程计划总投资约32000万元，土建投资27776.68万元，自筹10000万元，银行贷款22000万元。施工准备期自拆迁完成后2个月内，施工期自拆迁完成后2个月内，竣工自拆迁完成后2年内，施工期22个月。</w:t>
      </w:r>
    </w:p>
    <w:p>
      <w:pPr>
        <w:spacing w:line="360" w:lineRule="auto"/>
        <w:rPr>
          <w:rFonts w:hint="eastAsia"/>
          <w:color w:val="auto"/>
          <w:highlight w:val="none"/>
          <w:lang w:val="en-US" w:eastAsia="zh-CN"/>
        </w:rPr>
      </w:pPr>
      <w:r>
        <w:rPr>
          <w:rFonts w:hint="eastAsia"/>
          <w:color w:val="auto"/>
          <w:highlight w:val="none"/>
          <w:lang w:val="en-US" w:eastAsia="zh-CN"/>
        </w:rPr>
        <w:t>占地面积48427.08m²，总建筑面积86120.75m²，共设置2652个停车位，项目分为A、B、C三个区域，A区和C区为两层，单层层高为4.5m，其中A区：占地114534.80m²，设置1405个停车位；C区：占地23158.87m²，设置739个停车位；B区：占地10733.41m²，设置508个停车位，负一层为地下人防工程，人防面积5152.46m²。</w:t>
      </w:r>
    </w:p>
    <w:p>
      <w:pPr>
        <w:bidi w:val="0"/>
        <w:spacing w:line="360" w:lineRule="auto"/>
        <w:rPr>
          <w:rFonts w:hint="eastAsia"/>
          <w:color w:val="auto"/>
          <w:highlight w:val="none"/>
          <w:lang w:val="en-US" w:eastAsia="zh-CN"/>
        </w:rPr>
      </w:pPr>
      <w:r>
        <w:rPr>
          <w:rFonts w:hint="eastAsia"/>
          <w:color w:val="auto"/>
          <w:highlight w:val="none"/>
          <w:lang w:val="en-US" w:eastAsia="zh-CN"/>
        </w:rPr>
        <w:t>衡阳市廻雁峰公园地下停车场项目位于规划衡阳市廻雁峰•巷荫岭棚户区改造项目的地下，该项目地上为规划衡阳市廻雁峰•巷荫岭棚户区改造项目。规划衡阳市廻雁峰•巷荫岭棚户区改造项目占地14.27h㎡ ，其中包括衡阳市廻雁峰公园地下停车场项目的地下部分。</w:t>
      </w:r>
    </w:p>
    <w:p>
      <w:pPr>
        <w:bidi w:val="0"/>
        <w:rPr>
          <w:color w:val="auto"/>
          <w:highlight w:val="none"/>
          <w:lang w:val="zh-CN"/>
        </w:rPr>
      </w:pPr>
      <w:r>
        <w:rPr>
          <w:color w:val="auto"/>
          <w:highlight w:val="none"/>
        </w:rPr>
        <w:t>根据现场调查和业主提供的资料计算，整个项目区土石方开挖量为</w:t>
      </w:r>
      <w:r>
        <w:rPr>
          <w:rFonts w:hint="eastAsia"/>
          <w:color w:val="auto"/>
          <w:highlight w:val="none"/>
          <w:lang w:val="en-US" w:eastAsia="zh-CN"/>
        </w:rPr>
        <w:t>44.54</w:t>
      </w:r>
      <w:r>
        <w:rPr>
          <w:color w:val="auto"/>
          <w:highlight w:val="none"/>
        </w:rPr>
        <w:t>万m3（其中</w:t>
      </w:r>
      <w:r>
        <w:rPr>
          <w:rFonts w:hint="eastAsia"/>
          <w:color w:val="auto"/>
          <w:highlight w:val="none"/>
          <w:lang w:val="en-US" w:eastAsia="zh-CN"/>
        </w:rPr>
        <w:t>A区</w:t>
      </w:r>
      <w:r>
        <w:rPr>
          <w:color w:val="auto"/>
          <w:highlight w:val="none"/>
        </w:rPr>
        <w:t>开挖量</w:t>
      </w:r>
      <w:r>
        <w:rPr>
          <w:rFonts w:hint="eastAsia"/>
          <w:color w:val="auto"/>
          <w:highlight w:val="none"/>
          <w:lang w:val="en-US" w:eastAsia="zh-CN"/>
        </w:rPr>
        <w:t>15.26</w:t>
      </w:r>
      <w:r>
        <w:rPr>
          <w:color w:val="auto"/>
          <w:highlight w:val="none"/>
        </w:rPr>
        <w:t>万m3，</w:t>
      </w:r>
      <w:r>
        <w:rPr>
          <w:rFonts w:hint="eastAsia"/>
          <w:color w:val="auto"/>
          <w:highlight w:val="none"/>
          <w:lang w:val="en-US" w:eastAsia="zh-CN"/>
        </w:rPr>
        <w:t>B区</w:t>
      </w:r>
      <w:r>
        <w:rPr>
          <w:color w:val="auto"/>
          <w:highlight w:val="none"/>
        </w:rPr>
        <w:t>开挖量</w:t>
      </w:r>
      <w:r>
        <w:rPr>
          <w:rFonts w:hint="eastAsia"/>
          <w:color w:val="auto"/>
          <w:highlight w:val="none"/>
          <w:lang w:val="en-US" w:eastAsia="zh-CN"/>
        </w:rPr>
        <w:t>6.44</w:t>
      </w:r>
      <w:r>
        <w:rPr>
          <w:color w:val="auto"/>
          <w:highlight w:val="none"/>
        </w:rPr>
        <w:t>万m3，</w:t>
      </w:r>
      <w:r>
        <w:rPr>
          <w:rFonts w:hint="eastAsia"/>
          <w:color w:val="auto"/>
          <w:highlight w:val="none"/>
          <w:lang w:val="en-US" w:eastAsia="zh-CN"/>
        </w:rPr>
        <w:t>C区</w:t>
      </w:r>
      <w:r>
        <w:rPr>
          <w:color w:val="auto"/>
          <w:highlight w:val="none"/>
        </w:rPr>
        <w:t>开挖量</w:t>
      </w:r>
      <w:r>
        <w:rPr>
          <w:rFonts w:hint="eastAsia"/>
          <w:color w:val="auto"/>
          <w:highlight w:val="none"/>
          <w:lang w:val="en-US" w:eastAsia="zh-CN"/>
        </w:rPr>
        <w:t>21.7</w:t>
      </w:r>
      <w:r>
        <w:rPr>
          <w:color w:val="auto"/>
          <w:highlight w:val="none"/>
        </w:rPr>
        <w:t>万m3）；回填量为</w:t>
      </w:r>
      <w:r>
        <w:rPr>
          <w:rFonts w:hint="eastAsia"/>
          <w:color w:val="auto"/>
          <w:highlight w:val="none"/>
          <w:lang w:val="en-US" w:eastAsia="zh-CN"/>
        </w:rPr>
        <w:t>26.66</w:t>
      </w:r>
      <w:r>
        <w:rPr>
          <w:color w:val="auto"/>
          <w:highlight w:val="none"/>
        </w:rPr>
        <w:t>万m3（</w:t>
      </w:r>
      <w:r>
        <w:rPr>
          <w:rFonts w:hint="eastAsia"/>
          <w:color w:val="auto"/>
          <w:highlight w:val="none"/>
          <w:lang w:val="en-US" w:eastAsia="zh-CN"/>
        </w:rPr>
        <w:t>A区</w:t>
      </w:r>
      <w:r>
        <w:rPr>
          <w:color w:val="auto"/>
          <w:highlight w:val="none"/>
        </w:rPr>
        <w:t>回填</w:t>
      </w:r>
      <w:r>
        <w:rPr>
          <w:rFonts w:hint="eastAsia"/>
          <w:color w:val="auto"/>
          <w:highlight w:val="none"/>
          <w:lang w:val="en-US" w:eastAsia="zh-CN"/>
        </w:rPr>
        <w:t>7.99</w:t>
      </w:r>
      <w:r>
        <w:rPr>
          <w:color w:val="auto"/>
          <w:highlight w:val="none"/>
        </w:rPr>
        <w:t>m3,</w:t>
      </w:r>
      <w:r>
        <w:rPr>
          <w:rFonts w:hint="eastAsia"/>
          <w:color w:val="auto"/>
          <w:highlight w:val="none"/>
          <w:lang w:val="en-US" w:eastAsia="zh-CN"/>
        </w:rPr>
        <w:t>B区</w:t>
      </w:r>
      <w:r>
        <w:rPr>
          <w:color w:val="auto"/>
          <w:highlight w:val="none"/>
        </w:rPr>
        <w:t>回填</w:t>
      </w:r>
      <w:r>
        <w:rPr>
          <w:rFonts w:hint="eastAsia"/>
          <w:color w:val="auto"/>
          <w:highlight w:val="none"/>
          <w:lang w:val="en-US" w:eastAsia="zh-CN"/>
        </w:rPr>
        <w:t>5.93</w:t>
      </w:r>
      <w:r>
        <w:rPr>
          <w:color w:val="auto"/>
          <w:highlight w:val="none"/>
        </w:rPr>
        <w:t>m3，</w:t>
      </w:r>
      <w:r>
        <w:rPr>
          <w:rFonts w:hint="eastAsia"/>
          <w:color w:val="auto"/>
          <w:highlight w:val="none"/>
          <w:lang w:val="en-US" w:eastAsia="zh-CN"/>
        </w:rPr>
        <w:t>C区</w:t>
      </w:r>
      <w:r>
        <w:rPr>
          <w:color w:val="auto"/>
          <w:highlight w:val="none"/>
        </w:rPr>
        <w:t>回填</w:t>
      </w:r>
      <w:r>
        <w:rPr>
          <w:rFonts w:hint="eastAsia"/>
          <w:color w:val="auto"/>
          <w:highlight w:val="none"/>
          <w:lang w:val="en-US" w:eastAsia="zh-CN"/>
        </w:rPr>
        <w:t>13.92</w:t>
      </w:r>
      <w:r>
        <w:rPr>
          <w:color w:val="auto"/>
          <w:highlight w:val="none"/>
        </w:rPr>
        <w:t>m3），</w:t>
      </w:r>
      <w:r>
        <w:rPr>
          <w:rFonts w:hint="eastAsia"/>
          <w:color w:val="auto"/>
          <w:highlight w:val="none"/>
          <w:lang w:val="en-US" w:eastAsia="zh-CN"/>
        </w:rPr>
        <w:t>设临时堆土场，</w:t>
      </w:r>
      <w:r>
        <w:rPr>
          <w:color w:val="auto"/>
          <w:highlight w:val="none"/>
        </w:rPr>
        <w:t>回填土方利用开挖方，余方</w:t>
      </w:r>
      <w:r>
        <w:rPr>
          <w:rFonts w:hint="eastAsia"/>
          <w:color w:val="auto"/>
          <w:highlight w:val="none"/>
          <w:lang w:val="en-US" w:eastAsia="zh-CN"/>
        </w:rPr>
        <w:t>用于地上廻雁峰·巷荫岭棚户区改造项目。</w:t>
      </w:r>
      <w:r>
        <w:rPr>
          <w:color w:val="auto"/>
          <w:highlight w:val="none"/>
        </w:rPr>
        <w:t>该工程无弃土弃渣，符合水土保持对工程建设的要求</w:t>
      </w:r>
      <w:r>
        <w:rPr>
          <w:rFonts w:hint="eastAsia"/>
          <w:color w:val="auto"/>
          <w:highlight w:val="none"/>
        </w:rPr>
        <w:t>。</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eastAsia"/>
          <w:color w:val="auto"/>
          <w:highlight w:val="none"/>
          <w:lang w:val="en-US" w:eastAsia="zh-CN"/>
        </w:rPr>
      </w:pPr>
      <w:r>
        <w:rPr>
          <w:rFonts w:hint="eastAsia"/>
          <w:color w:val="auto"/>
          <w:highlight w:val="none"/>
          <w:lang w:val="en-US" w:eastAsia="zh-CN"/>
        </w:rPr>
        <w:t>工程总投资32000</w:t>
      </w:r>
      <w:r>
        <w:rPr>
          <w:rFonts w:hint="eastAsia"/>
          <w:color w:val="auto"/>
          <w:highlight w:val="none"/>
        </w:rPr>
        <w:t>万</w:t>
      </w:r>
      <w:r>
        <w:rPr>
          <w:color w:val="auto"/>
          <w:highlight w:val="none"/>
        </w:rPr>
        <w:t>元</w:t>
      </w:r>
      <w:r>
        <w:rPr>
          <w:rFonts w:hint="eastAsia"/>
          <w:color w:val="auto"/>
          <w:highlight w:val="none"/>
          <w:lang w:val="en-US" w:eastAsia="zh-CN"/>
        </w:rPr>
        <w:t>，一期工程（A区与B区）于2016年8月开始施工，2020年6月年竣工。</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color w:val="auto"/>
          <w:highlight w:val="none"/>
          <w:lang w:val="en-US" w:eastAsia="zh-CN"/>
        </w:rPr>
      </w:pPr>
      <w:r>
        <w:rPr>
          <w:rFonts w:hint="default"/>
          <w:color w:val="auto"/>
          <w:highlight w:val="none"/>
          <w:lang w:val="en-US" w:eastAsia="zh-CN"/>
        </w:rPr>
        <w:t>根据《土壤侵蚀分类分级标准》SL190-2007，项目所在地区属于南方红壤丘陵区，土壤容许流失量为 500t/（km²•a）。本项目占地范围内水土流失程度为平原轻度侵蚀，侵蚀类型为水力侵蚀，项目区水土保持情况相对较好，原生水土流失较小，原生平均土壤侵蚀模数为</w:t>
      </w:r>
      <w:r>
        <w:rPr>
          <w:rFonts w:hint="eastAsia"/>
          <w:color w:val="auto"/>
          <w:highlight w:val="none"/>
          <w:lang w:val="en-US" w:eastAsia="zh-CN"/>
        </w:rPr>
        <w:t>250</w:t>
      </w:r>
      <w:r>
        <w:rPr>
          <w:rFonts w:hint="default"/>
          <w:color w:val="auto"/>
          <w:highlight w:val="none"/>
          <w:lang w:val="en-US" w:eastAsia="zh-CN"/>
        </w:rPr>
        <w:t xml:space="preserve">t/km²•a。 </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67" w:name="_Toc9813"/>
      <w:r>
        <w:rPr>
          <w:rFonts w:hint="default" w:ascii="Times New Roman" w:hAnsi="Times New Roman" w:cs="Times New Roman"/>
          <w:b/>
          <w:bCs/>
          <w:color w:val="auto"/>
          <w:sz w:val="28"/>
          <w:szCs w:val="28"/>
          <w:highlight w:val="none"/>
          <w:vertAlign w:val="baseline"/>
          <w:lang w:val="en-US" w:eastAsia="zh-CN"/>
        </w:rPr>
        <w:t>1.1.</w:t>
      </w:r>
      <w:r>
        <w:rPr>
          <w:rFonts w:hint="eastAsia" w:cs="Times New Roman"/>
          <w:b/>
          <w:bCs/>
          <w:color w:val="auto"/>
          <w:sz w:val="28"/>
          <w:szCs w:val="28"/>
          <w:highlight w:val="none"/>
          <w:vertAlign w:val="baseline"/>
          <w:lang w:val="en-US" w:eastAsia="zh-CN"/>
        </w:rPr>
        <w:t>2项目组成</w:t>
      </w:r>
      <w:bookmarkEnd w:id="67"/>
    </w:p>
    <w:p>
      <w:pPr>
        <w:spacing w:line="360" w:lineRule="auto"/>
        <w:ind w:firstLine="480"/>
        <w:jc w:val="left"/>
        <w:rPr>
          <w:color w:val="auto"/>
          <w:highlight w:val="none"/>
        </w:rPr>
      </w:pPr>
      <w:r>
        <w:rPr>
          <w:rFonts w:hAnsi="宋体"/>
          <w:color w:val="auto"/>
          <w:szCs w:val="24"/>
          <w:highlight w:val="none"/>
        </w:rPr>
        <w:t>项目规划</w:t>
      </w:r>
      <w:r>
        <w:rPr>
          <w:rFonts w:hint="eastAsia" w:ascii="宋体" w:hAnsi="宋体"/>
          <w:color w:val="auto"/>
          <w:szCs w:val="24"/>
          <w:highlight w:val="none"/>
        </w:rPr>
        <w:t>总</w:t>
      </w:r>
      <w:r>
        <w:rPr>
          <w:rFonts w:hint="eastAsia"/>
          <w:color w:val="auto"/>
          <w:highlight w:val="none"/>
        </w:rPr>
        <w:t>用地面积</w:t>
      </w:r>
      <w:r>
        <w:rPr>
          <w:rFonts w:hint="eastAsia"/>
          <w:color w:val="auto"/>
          <w:highlight w:val="none"/>
          <w:lang w:val="en-US" w:eastAsia="zh-CN"/>
        </w:rPr>
        <w:t>48427.08m²</w:t>
      </w:r>
      <w:r>
        <w:rPr>
          <w:rFonts w:hint="eastAsia"/>
          <w:color w:val="auto"/>
          <w:highlight w:val="none"/>
          <w:lang w:eastAsia="zh-CN"/>
        </w:rPr>
        <w:t>，</w:t>
      </w:r>
      <w:r>
        <w:rPr>
          <w:rFonts w:hint="eastAsia"/>
          <w:color w:val="auto"/>
          <w:highlight w:val="none"/>
        </w:rPr>
        <w:t>总建筑面积</w:t>
      </w:r>
      <w:r>
        <w:rPr>
          <w:rFonts w:hint="eastAsia"/>
          <w:color w:val="auto"/>
          <w:highlight w:val="none"/>
          <w:lang w:val="en-US" w:eastAsia="zh-CN"/>
        </w:rPr>
        <w:t>86120.75m²</w:t>
      </w:r>
      <w:r>
        <w:rPr>
          <w:rFonts w:hint="eastAsia"/>
          <w:color w:val="auto"/>
          <w:highlight w:val="none"/>
          <w:lang w:eastAsia="zh-CN"/>
        </w:rPr>
        <w:t>，</w:t>
      </w:r>
      <w:r>
        <w:rPr>
          <w:rFonts w:hint="eastAsia"/>
          <w:color w:val="auto"/>
          <w:highlight w:val="none"/>
          <w:lang w:val="en-US" w:eastAsia="zh-CN"/>
        </w:rPr>
        <w:t>共设置2652个停车位，项目分为A、B、C三个区域，A区和C区为两层，单层层高为4.5m，其中A区：占地114534.80m²，设置1405个停车位；C区：占地23158.87m²，设置739个停车位；B区：占地10733.41m²，设置508个停车位，负一层为地下人防工程，人防面积5152.46m²。</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eastAsia"/>
          <w:color w:val="auto"/>
          <w:highlight w:val="none"/>
        </w:rPr>
      </w:pPr>
      <w:r>
        <w:rPr>
          <w:rFonts w:hint="eastAsia"/>
          <w:color w:val="auto"/>
          <w:highlight w:val="none"/>
          <w:lang w:val="en-US" w:eastAsia="zh-CN"/>
        </w:rPr>
        <w:t>衡阳市廻雁峰公园地下停车场项目位于规划衡阳市廻雁峰•巷荫岭棚户区改造项目的地下</w:t>
      </w:r>
      <w:r>
        <w:rPr>
          <w:rFonts w:hint="eastAsia"/>
          <w:color w:val="auto"/>
          <w:highlight w:val="none"/>
        </w:rPr>
        <w:t>。</w:t>
      </w:r>
      <w:r>
        <w:rPr>
          <w:color w:val="auto"/>
          <w:highlight w:val="none"/>
        </w:rPr>
        <w:t>项目规划总用地面积</w:t>
      </w:r>
      <w:r>
        <w:rPr>
          <w:rFonts w:hint="eastAsia"/>
          <w:color w:val="auto"/>
          <w:highlight w:val="none"/>
        </w:rPr>
        <w:t>8.</w:t>
      </w:r>
      <w:r>
        <w:rPr>
          <w:rFonts w:hint="eastAsia"/>
          <w:color w:val="auto"/>
          <w:highlight w:val="none"/>
          <w:lang w:val="en-US" w:eastAsia="zh-CN"/>
        </w:rPr>
        <w:t>61</w:t>
      </w:r>
      <w:r>
        <w:rPr>
          <w:rFonts w:hint="eastAsia"/>
          <w:color w:val="auto"/>
          <w:highlight w:val="none"/>
        </w:rPr>
        <w:t>h</w:t>
      </w:r>
      <w:r>
        <w:rPr>
          <w:color w:val="auto"/>
          <w:highlight w:val="none"/>
        </w:rPr>
        <w:t>m</w:t>
      </w:r>
      <w:r>
        <w:rPr>
          <w:color w:val="auto"/>
          <w:highlight w:val="none"/>
          <w:vertAlign w:val="superscript"/>
        </w:rPr>
        <w:t>2</w:t>
      </w:r>
      <w:r>
        <w:rPr>
          <w:rFonts w:hint="eastAsia"/>
          <w:color w:val="auto"/>
          <w:highlight w:val="none"/>
        </w:rPr>
        <w:t>。</w:t>
      </w:r>
    </w:p>
    <w:p>
      <w:pPr>
        <w:tabs>
          <w:tab w:val="left" w:pos="525"/>
        </w:tabs>
        <w:spacing w:line="288" w:lineRule="auto"/>
        <w:ind w:firstLine="480"/>
        <w:jc w:val="center"/>
        <w:rPr>
          <w:rFonts w:ascii="宋体"/>
          <w:b/>
          <w:bCs/>
          <w:color w:val="auto"/>
          <w:highlight w:val="none"/>
        </w:rPr>
      </w:pPr>
      <w:r>
        <w:rPr>
          <w:rFonts w:hAnsi="宋体"/>
          <w:b/>
          <w:bCs/>
          <w:color w:val="auto"/>
          <w:highlight w:val="none"/>
        </w:rPr>
        <w:t>表</w:t>
      </w:r>
      <w:r>
        <w:rPr>
          <w:rFonts w:hint="eastAsia"/>
          <w:b/>
          <w:bCs/>
          <w:color w:val="auto"/>
          <w:highlight w:val="none"/>
          <w:lang w:val="en-US" w:eastAsia="zh-CN"/>
        </w:rPr>
        <w:t>1</w:t>
      </w:r>
      <w:r>
        <w:rPr>
          <w:b/>
          <w:bCs/>
          <w:color w:val="auto"/>
          <w:highlight w:val="none"/>
        </w:rPr>
        <w:t>.1-1</w:t>
      </w:r>
      <w:r>
        <w:rPr>
          <w:rFonts w:hAnsi="宋体"/>
          <w:b/>
          <w:bCs/>
          <w:color w:val="auto"/>
          <w:highlight w:val="none"/>
        </w:rPr>
        <w:t>　　　　　　</w:t>
      </w:r>
      <w:r>
        <w:rPr>
          <w:rFonts w:hint="eastAsia" w:ascii="宋体"/>
          <w:b/>
          <w:bCs/>
          <w:color w:val="auto"/>
          <w:highlight w:val="none"/>
        </w:rPr>
        <w:t>技术经济指标</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627"/>
        <w:gridCol w:w="1564"/>
        <w:gridCol w:w="1924"/>
        <w:gridCol w:w="1936"/>
        <w:gridCol w:w="1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编号</w:t>
            </w:r>
          </w:p>
        </w:tc>
        <w:tc>
          <w:tcPr>
            <w:tcW w:w="3551"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项目</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1</w:t>
            </w:r>
          </w:p>
        </w:tc>
        <w:tc>
          <w:tcPr>
            <w:tcW w:w="1286"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总规划用地</w:t>
            </w:r>
          </w:p>
        </w:tc>
        <w:tc>
          <w:tcPr>
            <w:tcW w:w="2264"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86120.75</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487"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2</w:t>
            </w:r>
          </w:p>
        </w:tc>
        <w:tc>
          <w:tcPr>
            <w:tcW w:w="1286"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总建筑面积</w:t>
            </w:r>
          </w:p>
        </w:tc>
        <w:tc>
          <w:tcPr>
            <w:tcW w:w="2264"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48427.08</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3</w:t>
            </w:r>
          </w:p>
        </w:tc>
        <w:tc>
          <w:tcPr>
            <w:tcW w:w="1286"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区域</w:t>
            </w:r>
          </w:p>
        </w:tc>
        <w:tc>
          <w:tcPr>
            <w:tcW w:w="11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占地面积</w:t>
            </w:r>
          </w:p>
        </w:tc>
        <w:tc>
          <w:tcPr>
            <w:tcW w:w="113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停车位</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 w:hAnsi="仿宋" w:eastAsia="仿宋" w:cs="仿宋"/>
                <w:color w:val="auto"/>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4</w:t>
            </w:r>
          </w:p>
        </w:tc>
        <w:tc>
          <w:tcPr>
            <w:tcW w:w="1286"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A区</w:t>
            </w:r>
          </w:p>
        </w:tc>
        <w:tc>
          <w:tcPr>
            <w:tcW w:w="11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highlight w:val="none"/>
                <w:lang w:val="en-US" w:eastAsia="zh-CN"/>
              </w:rPr>
              <w:t>114534.80</w:t>
            </w:r>
          </w:p>
        </w:tc>
        <w:tc>
          <w:tcPr>
            <w:tcW w:w="113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highlight w:val="none"/>
                <w:lang w:val="en-US" w:eastAsia="zh-CN"/>
              </w:rPr>
              <w:t>1405</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highlight w:val="none"/>
                <w:lang w:val="en-US" w:eastAsia="zh-CN"/>
              </w:rPr>
              <w:t>m²/个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5</w:t>
            </w:r>
          </w:p>
        </w:tc>
        <w:tc>
          <w:tcPr>
            <w:tcW w:w="1286"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B区</w:t>
            </w:r>
          </w:p>
        </w:tc>
        <w:tc>
          <w:tcPr>
            <w:tcW w:w="11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highlight w:val="none"/>
                <w:lang w:val="en-US" w:eastAsia="zh-CN"/>
              </w:rPr>
              <w:t>10733.41</w:t>
            </w:r>
          </w:p>
        </w:tc>
        <w:tc>
          <w:tcPr>
            <w:tcW w:w="113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highlight w:val="none"/>
                <w:lang w:val="en-US" w:eastAsia="zh-CN"/>
              </w:rPr>
              <w:t>508</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highlight w:val="none"/>
                <w:lang w:val="en-US" w:eastAsia="zh-CN"/>
              </w:rPr>
              <w:t>m²/个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6</w:t>
            </w:r>
          </w:p>
        </w:tc>
        <w:tc>
          <w:tcPr>
            <w:tcW w:w="1286"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C区</w:t>
            </w:r>
          </w:p>
        </w:tc>
        <w:tc>
          <w:tcPr>
            <w:tcW w:w="11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highlight w:val="none"/>
                <w:lang w:val="en-US" w:eastAsia="zh-CN"/>
              </w:rPr>
              <w:t>23158.87</w:t>
            </w:r>
          </w:p>
        </w:tc>
        <w:tc>
          <w:tcPr>
            <w:tcW w:w="113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highlight w:val="none"/>
                <w:lang w:val="en-US" w:eastAsia="zh-CN"/>
              </w:rPr>
              <w:t>739</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highlight w:val="none"/>
                <w:lang w:val="en-US" w:eastAsia="zh-CN"/>
              </w:rPr>
              <w:t>m²/个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7</w:t>
            </w:r>
          </w:p>
        </w:tc>
        <w:tc>
          <w:tcPr>
            <w:tcW w:w="1286"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B区人防面积</w:t>
            </w:r>
          </w:p>
        </w:tc>
        <w:tc>
          <w:tcPr>
            <w:tcW w:w="2264"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highlight w:val="none"/>
                <w:lang w:val="en-US" w:eastAsia="zh-CN"/>
              </w:rPr>
              <w:t>5152.46</w:t>
            </w:r>
          </w:p>
        </w:tc>
        <w:tc>
          <w:tcPr>
            <w:tcW w:w="9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highlight w:val="none"/>
                <w:lang w:val="en-US" w:eastAsia="zh-CN"/>
              </w:rPr>
              <w:t>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5"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备注</w:t>
            </w:r>
          </w:p>
        </w:tc>
        <w:tc>
          <w:tcPr>
            <w:tcW w:w="4144"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 w:hAnsi="仿宋" w:eastAsia="仿宋" w:cs="仿宋"/>
                <w:color w:val="auto"/>
                <w:kern w:val="2"/>
                <w:sz w:val="21"/>
                <w:szCs w:val="21"/>
                <w:highlight w:val="none"/>
                <w:vertAlign w:val="baseline"/>
                <w:lang w:val="en-US" w:eastAsia="zh-CN" w:bidi="ar-SA"/>
              </w:rPr>
            </w:pPr>
            <w:r>
              <w:rPr>
                <w:rFonts w:hint="eastAsia" w:ascii="仿宋" w:hAnsi="仿宋" w:eastAsia="仿宋" w:cs="仿宋"/>
                <w:color w:val="auto"/>
                <w:kern w:val="2"/>
                <w:sz w:val="21"/>
                <w:szCs w:val="21"/>
                <w:highlight w:val="none"/>
                <w:vertAlign w:val="baseline"/>
                <w:lang w:val="en-US" w:eastAsia="zh-CN" w:bidi="ar-SA"/>
              </w:rPr>
              <w:t>A、B区已竣工验收，C区因其它原因还未开工。</w:t>
            </w:r>
          </w:p>
        </w:tc>
      </w:tr>
    </w:tbl>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before="313" w:beforeLines="100" w:after="0" w:afterLines="0" w:line="360" w:lineRule="auto"/>
        <w:jc w:val="left"/>
        <w:textAlignment w:val="auto"/>
        <w:outlineLvl w:val="1"/>
        <w:rPr>
          <w:rFonts w:hint="eastAsia" w:cs="Times New Roman"/>
          <w:b/>
          <w:bCs/>
          <w:color w:val="auto"/>
          <w:sz w:val="28"/>
          <w:szCs w:val="28"/>
          <w:highlight w:val="none"/>
          <w:vertAlign w:val="baseline"/>
          <w:lang w:val="en-US" w:eastAsia="zh-CN"/>
        </w:rPr>
      </w:pPr>
      <w:r>
        <w:rPr>
          <w:rFonts w:hint="default" w:ascii="Times New Roman" w:hAnsi="Times New Roman" w:cs="Times New Roman"/>
          <w:b/>
          <w:bCs/>
          <w:color w:val="auto"/>
          <w:sz w:val="28"/>
          <w:szCs w:val="28"/>
          <w:highlight w:val="none"/>
          <w:vertAlign w:val="baseline"/>
          <w:lang w:val="en-US" w:eastAsia="zh-CN"/>
        </w:rPr>
        <w:t>1.1.</w:t>
      </w:r>
      <w:r>
        <w:rPr>
          <w:rFonts w:hint="eastAsia" w:cs="Times New Roman"/>
          <w:b/>
          <w:bCs/>
          <w:color w:val="auto"/>
          <w:sz w:val="28"/>
          <w:szCs w:val="28"/>
          <w:highlight w:val="none"/>
          <w:vertAlign w:val="baseline"/>
          <w:lang w:val="en-US" w:eastAsia="zh-CN"/>
        </w:rPr>
        <w:t>3土石方及投资情况</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color w:val="auto"/>
          <w:highlight w:val="none"/>
          <w:lang w:val="en-US" w:eastAsia="zh-CN"/>
        </w:rPr>
      </w:pPr>
      <w:r>
        <w:rPr>
          <w:color w:val="auto"/>
          <w:highlight w:val="none"/>
        </w:rPr>
        <w:t>本项目土石方开挖量为</w:t>
      </w:r>
      <w:r>
        <w:rPr>
          <w:rFonts w:hint="eastAsia"/>
          <w:color w:val="auto"/>
          <w:highlight w:val="none"/>
          <w:lang w:val="en-US" w:eastAsia="zh-CN"/>
        </w:rPr>
        <w:t>44.54</w:t>
      </w:r>
      <w:r>
        <w:rPr>
          <w:color w:val="auto"/>
          <w:highlight w:val="none"/>
        </w:rPr>
        <w:t>万m3（其中</w:t>
      </w:r>
      <w:r>
        <w:rPr>
          <w:rFonts w:hint="eastAsia"/>
          <w:color w:val="auto"/>
          <w:highlight w:val="none"/>
          <w:lang w:val="en-US" w:eastAsia="zh-CN"/>
        </w:rPr>
        <w:t>A区</w:t>
      </w:r>
      <w:r>
        <w:rPr>
          <w:color w:val="auto"/>
          <w:highlight w:val="none"/>
        </w:rPr>
        <w:t>开挖量</w:t>
      </w:r>
      <w:r>
        <w:rPr>
          <w:rFonts w:hint="eastAsia"/>
          <w:color w:val="auto"/>
          <w:highlight w:val="none"/>
          <w:lang w:val="en-US" w:eastAsia="zh-CN"/>
        </w:rPr>
        <w:t>15.26</w:t>
      </w:r>
      <w:r>
        <w:rPr>
          <w:color w:val="auto"/>
          <w:highlight w:val="none"/>
        </w:rPr>
        <w:t>万m3，</w:t>
      </w:r>
      <w:r>
        <w:rPr>
          <w:rFonts w:hint="eastAsia"/>
          <w:color w:val="auto"/>
          <w:highlight w:val="none"/>
          <w:lang w:val="en-US" w:eastAsia="zh-CN"/>
        </w:rPr>
        <w:t>B区</w:t>
      </w:r>
      <w:r>
        <w:rPr>
          <w:color w:val="auto"/>
          <w:highlight w:val="none"/>
        </w:rPr>
        <w:t>开挖量</w:t>
      </w:r>
      <w:r>
        <w:rPr>
          <w:rFonts w:hint="eastAsia"/>
          <w:color w:val="auto"/>
          <w:highlight w:val="none"/>
          <w:lang w:val="en-US" w:eastAsia="zh-CN"/>
        </w:rPr>
        <w:t>6.44</w:t>
      </w:r>
      <w:r>
        <w:rPr>
          <w:color w:val="auto"/>
          <w:highlight w:val="none"/>
        </w:rPr>
        <w:t>万m3，</w:t>
      </w:r>
      <w:r>
        <w:rPr>
          <w:rFonts w:hint="eastAsia"/>
          <w:color w:val="auto"/>
          <w:highlight w:val="none"/>
          <w:lang w:val="en-US" w:eastAsia="zh-CN"/>
        </w:rPr>
        <w:t>C区</w:t>
      </w:r>
      <w:r>
        <w:rPr>
          <w:color w:val="auto"/>
          <w:highlight w:val="none"/>
        </w:rPr>
        <w:t>开挖量</w:t>
      </w:r>
      <w:r>
        <w:rPr>
          <w:rFonts w:hint="eastAsia"/>
          <w:color w:val="auto"/>
          <w:highlight w:val="none"/>
          <w:lang w:val="en-US" w:eastAsia="zh-CN"/>
        </w:rPr>
        <w:t>21.7</w:t>
      </w:r>
      <w:r>
        <w:rPr>
          <w:color w:val="auto"/>
          <w:highlight w:val="none"/>
        </w:rPr>
        <w:t>万m3）；回填量为</w:t>
      </w:r>
      <w:r>
        <w:rPr>
          <w:rFonts w:hint="eastAsia"/>
          <w:color w:val="auto"/>
          <w:highlight w:val="none"/>
          <w:lang w:val="en-US" w:eastAsia="zh-CN"/>
        </w:rPr>
        <w:t>26.66</w:t>
      </w:r>
      <w:r>
        <w:rPr>
          <w:color w:val="auto"/>
          <w:highlight w:val="none"/>
        </w:rPr>
        <w:t>万m3（</w:t>
      </w:r>
      <w:r>
        <w:rPr>
          <w:rFonts w:hint="eastAsia"/>
          <w:color w:val="auto"/>
          <w:highlight w:val="none"/>
          <w:lang w:val="en-US" w:eastAsia="zh-CN"/>
        </w:rPr>
        <w:t>A区</w:t>
      </w:r>
      <w:r>
        <w:rPr>
          <w:color w:val="auto"/>
          <w:highlight w:val="none"/>
        </w:rPr>
        <w:t>回填</w:t>
      </w:r>
      <w:r>
        <w:rPr>
          <w:rFonts w:hint="eastAsia"/>
          <w:color w:val="auto"/>
          <w:highlight w:val="none"/>
          <w:lang w:val="en-US" w:eastAsia="zh-CN"/>
        </w:rPr>
        <w:t>7.99</w:t>
      </w:r>
      <w:r>
        <w:rPr>
          <w:color w:val="auto"/>
          <w:highlight w:val="none"/>
        </w:rPr>
        <w:t>m3,</w:t>
      </w:r>
      <w:r>
        <w:rPr>
          <w:rFonts w:hint="eastAsia"/>
          <w:color w:val="auto"/>
          <w:highlight w:val="none"/>
          <w:lang w:val="en-US" w:eastAsia="zh-CN"/>
        </w:rPr>
        <w:t>B区</w:t>
      </w:r>
      <w:r>
        <w:rPr>
          <w:color w:val="auto"/>
          <w:highlight w:val="none"/>
        </w:rPr>
        <w:t>回填</w:t>
      </w:r>
      <w:r>
        <w:rPr>
          <w:rFonts w:hint="eastAsia"/>
          <w:color w:val="auto"/>
          <w:highlight w:val="none"/>
          <w:lang w:val="en-US" w:eastAsia="zh-CN"/>
        </w:rPr>
        <w:t>5.93</w:t>
      </w:r>
      <w:r>
        <w:rPr>
          <w:color w:val="auto"/>
          <w:highlight w:val="none"/>
        </w:rPr>
        <w:t>m3，</w:t>
      </w:r>
      <w:r>
        <w:rPr>
          <w:rFonts w:hint="eastAsia"/>
          <w:color w:val="auto"/>
          <w:highlight w:val="none"/>
          <w:lang w:val="en-US" w:eastAsia="zh-CN"/>
        </w:rPr>
        <w:t>C区</w:t>
      </w:r>
      <w:r>
        <w:rPr>
          <w:color w:val="auto"/>
          <w:highlight w:val="none"/>
        </w:rPr>
        <w:t>回填</w:t>
      </w:r>
      <w:r>
        <w:rPr>
          <w:rFonts w:hint="eastAsia"/>
          <w:color w:val="auto"/>
          <w:highlight w:val="none"/>
          <w:lang w:val="en-US" w:eastAsia="zh-CN"/>
        </w:rPr>
        <w:t>13.92</w:t>
      </w:r>
      <w:r>
        <w:rPr>
          <w:color w:val="auto"/>
          <w:highlight w:val="none"/>
        </w:rPr>
        <w:t>m3），</w:t>
      </w:r>
      <w:r>
        <w:rPr>
          <w:rFonts w:hint="eastAsia"/>
          <w:color w:val="auto"/>
          <w:highlight w:val="none"/>
          <w:lang w:val="en-US" w:eastAsia="zh-CN"/>
        </w:rPr>
        <w:t>设临时堆土场，</w:t>
      </w:r>
      <w:r>
        <w:rPr>
          <w:color w:val="auto"/>
          <w:highlight w:val="none"/>
        </w:rPr>
        <w:t>回填土方利用开挖方，余方</w:t>
      </w:r>
      <w:r>
        <w:rPr>
          <w:rFonts w:hint="eastAsia"/>
          <w:color w:val="auto"/>
          <w:highlight w:val="none"/>
          <w:lang w:val="en-US" w:eastAsia="zh-CN"/>
        </w:rPr>
        <w:t>用于地上廻雁峰·巷荫岭棚户区改造项目</w:t>
      </w:r>
      <w:r>
        <w:rPr>
          <w:rFonts w:hint="eastAsia"/>
          <w:color w:val="auto"/>
          <w:highlight w:val="none"/>
        </w:rPr>
        <w:t>。</w:t>
      </w:r>
      <w:r>
        <w:rPr>
          <w:rFonts w:hint="eastAsia"/>
          <w:color w:val="auto"/>
          <w:highlight w:val="none"/>
          <w:lang w:val="en-US" w:eastAsia="zh-CN"/>
        </w:rPr>
        <w:t>工程总投资32000万元。</w:t>
      </w:r>
    </w:p>
    <w:p>
      <w:pPr>
        <w:pStyle w:val="2"/>
        <w:keepNext w:val="0"/>
        <w:keepLines w:val="0"/>
        <w:pageBreakBefore w:val="0"/>
        <w:widowControl w:val="0"/>
        <w:kinsoku/>
        <w:wordWrap/>
        <w:overflowPunct/>
        <w:topLinePunct w:val="0"/>
        <w:autoSpaceDE/>
        <w:autoSpaceDN/>
        <w:bidi w:val="0"/>
        <w:adjustRightInd w:val="0"/>
        <w:snapToGrid w:val="0"/>
        <w:spacing w:after="20" w:line="360" w:lineRule="auto"/>
        <w:ind w:left="0" w:leftChars="0" w:firstLine="0" w:firstLineChars="0"/>
        <w:jc w:val="left"/>
        <w:textAlignment w:val="auto"/>
        <w:outlineLvl w:val="0"/>
        <w:rPr>
          <w:rFonts w:hint="default" w:ascii="Times New Roman" w:hAnsi="Times New Roman" w:cs="Times New Roman"/>
          <w:b/>
          <w:bCs/>
          <w:color w:val="auto"/>
          <w:sz w:val="36"/>
          <w:szCs w:val="36"/>
          <w:highlight w:val="none"/>
          <w:lang w:val="en-US" w:eastAsia="zh-CN"/>
        </w:rPr>
      </w:pPr>
      <w:r>
        <w:rPr>
          <w:rFonts w:hint="default" w:ascii="Times New Roman" w:hAnsi="Times New Roman" w:cs="Times New Roman"/>
          <w:b/>
          <w:bCs/>
          <w:color w:val="auto"/>
          <w:sz w:val="36"/>
          <w:szCs w:val="36"/>
          <w:highlight w:val="none"/>
          <w:lang w:val="en-US" w:eastAsia="zh-CN"/>
        </w:rPr>
        <w:t>1.</w:t>
      </w:r>
      <w:r>
        <w:rPr>
          <w:rFonts w:hint="eastAsia" w:cs="Times New Roman"/>
          <w:b/>
          <w:bCs/>
          <w:color w:val="auto"/>
          <w:sz w:val="36"/>
          <w:szCs w:val="36"/>
          <w:highlight w:val="none"/>
          <w:lang w:val="en-US" w:eastAsia="zh-CN"/>
        </w:rPr>
        <w:t>2项目区概况</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20" w:afterLines="0" w:line="360" w:lineRule="auto"/>
        <w:jc w:val="left"/>
        <w:textAlignment w:val="auto"/>
        <w:outlineLvl w:val="1"/>
        <w:rPr>
          <w:rFonts w:hint="eastAsia" w:cs="Times New Roman"/>
          <w:b/>
          <w:bCs/>
          <w:color w:val="auto"/>
          <w:sz w:val="28"/>
          <w:szCs w:val="28"/>
          <w:highlight w:val="none"/>
          <w:vertAlign w:val="baseline"/>
          <w:lang w:val="en-US" w:eastAsia="zh-CN"/>
        </w:rPr>
      </w:pPr>
      <w:r>
        <w:rPr>
          <w:rFonts w:hint="default" w:ascii="Times New Roman" w:hAnsi="Times New Roman" w:cs="Times New Roman"/>
          <w:b/>
          <w:bCs/>
          <w:color w:val="auto"/>
          <w:sz w:val="28"/>
          <w:szCs w:val="28"/>
          <w:highlight w:val="none"/>
          <w:vertAlign w:val="baseline"/>
          <w:lang w:val="en-US" w:eastAsia="zh-CN"/>
        </w:rPr>
        <w:t>1.</w:t>
      </w:r>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1气象</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20" w:afterLines="0" w:line="360" w:lineRule="auto"/>
        <w:jc w:val="left"/>
        <w:textAlignment w:val="auto"/>
        <w:outlineLvl w:val="1"/>
        <w:rPr>
          <w:rFonts w:hint="eastAsia"/>
          <w:color w:val="auto"/>
          <w:highlight w:val="none"/>
          <w:lang w:eastAsia="zh-CN"/>
        </w:rPr>
      </w:pPr>
      <w:r>
        <w:rPr>
          <w:color w:val="auto"/>
          <w:highlight w:val="none"/>
        </w:rPr>
        <w:t>项目区所在地衡阳市雁峰区属典型的亚热带大陆季风温湿气候区，具有明显的季节性气候特征，四季分明。多年平均气温18.1 </w:t>
      </w:r>
      <w:r>
        <w:rPr>
          <w:rFonts w:hint="eastAsia"/>
          <w:color w:val="auto"/>
          <w:highlight w:val="none"/>
          <w:lang w:val="en-US" w:eastAsia="zh-CN"/>
        </w:rPr>
        <w:t>℃</w:t>
      </w:r>
      <w:r>
        <w:rPr>
          <w:color w:val="auto"/>
          <w:highlight w:val="none"/>
        </w:rPr>
        <w:t>,最热月平均气温高为29.8</w:t>
      </w:r>
      <w:r>
        <w:rPr>
          <w:rFonts w:hint="eastAsia"/>
          <w:color w:val="auto"/>
          <w:highlight w:val="none"/>
          <w:lang w:val="en-US" w:eastAsia="zh-CN"/>
        </w:rPr>
        <w:t>℃</w:t>
      </w:r>
      <w:r>
        <w:rPr>
          <w:color w:val="auto"/>
          <w:highlight w:val="none"/>
        </w:rPr>
        <w:t>，最冷月份平均气温5.6</w:t>
      </w:r>
      <w:r>
        <w:rPr>
          <w:rFonts w:hint="eastAsia"/>
          <w:color w:val="auto"/>
          <w:highlight w:val="none"/>
          <w:lang w:val="en-US" w:eastAsia="zh-CN"/>
        </w:rPr>
        <w:t>℃</w:t>
      </w:r>
      <w:r>
        <w:rPr>
          <w:color w:val="auto"/>
          <w:highlight w:val="none"/>
        </w:rPr>
        <w:t>，极端最高气温40.8</w:t>
      </w:r>
      <w:r>
        <w:rPr>
          <w:rFonts w:hint="eastAsia"/>
          <w:color w:val="auto"/>
          <w:highlight w:val="none"/>
          <w:lang w:val="en-US" w:eastAsia="zh-CN"/>
        </w:rPr>
        <w:t>℃</w:t>
      </w:r>
      <w:r>
        <w:rPr>
          <w:color w:val="auto"/>
          <w:highlight w:val="none"/>
        </w:rPr>
        <w:t>，最低气温-10.3 </w:t>
      </w:r>
      <w:r>
        <w:rPr>
          <w:rFonts w:hint="eastAsia"/>
          <w:color w:val="auto"/>
          <w:highlight w:val="none"/>
          <w:lang w:val="en-US" w:eastAsia="zh-CN"/>
        </w:rPr>
        <w:t>℃</w:t>
      </w:r>
      <w:r>
        <w:rPr>
          <w:color w:val="auto"/>
          <w:highlight w:val="none"/>
        </w:rPr>
        <w:t>，年内温差变化大，酷暑炎热及冰寒时间甚短，</w:t>
      </w:r>
      <w:r>
        <w:rPr>
          <w:rFonts w:hint="eastAsia"/>
          <w:color w:val="auto"/>
          <w:highlight w:val="none"/>
          <w:lang w:val="en-US" w:eastAsia="zh-CN"/>
        </w:rPr>
        <w:t>仅</w:t>
      </w:r>
      <w:r>
        <w:rPr>
          <w:color w:val="auto"/>
          <w:highlight w:val="none"/>
        </w:rPr>
        <w:t>7</w:t>
      </w:r>
      <w:r>
        <w:rPr>
          <w:rFonts w:hint="eastAsia"/>
          <w:color w:val="auto"/>
          <w:highlight w:val="none"/>
          <w:lang w:val="en-US" w:eastAsia="zh-CN"/>
        </w:rPr>
        <w:t>~</w:t>
      </w:r>
      <w:r>
        <w:rPr>
          <w:color w:val="auto"/>
          <w:highlight w:val="none"/>
        </w:rPr>
        <w:t>8月间出现短期酷暑，12月与1月受西北寒流侵入，短期冰冻寒冷，相对湿度78</w:t>
      </w:r>
      <w:r>
        <w:rPr>
          <w:rFonts w:hint="eastAsia"/>
          <w:color w:val="auto"/>
          <w:highlight w:val="none"/>
          <w:lang w:val="en-US" w:eastAsia="zh-CN"/>
        </w:rPr>
        <w:t>%</w:t>
      </w:r>
      <w:r>
        <w:rPr>
          <w:color w:val="auto"/>
          <w:highlight w:val="none"/>
        </w:rPr>
        <w:t>，湿润系数0.884~0.915</w:t>
      </w:r>
      <w:r>
        <w:rPr>
          <w:rFonts w:hint="eastAsia"/>
          <w:color w:val="auto"/>
          <w:highlight w:val="none"/>
          <w:lang w:eastAsia="zh-CN"/>
        </w:rPr>
        <w:t>，</w:t>
      </w:r>
      <w:r>
        <w:rPr>
          <w:color w:val="auto"/>
          <w:highlight w:val="none"/>
        </w:rPr>
        <w:t>干旱季节多集中在7~9月</w:t>
      </w:r>
      <w:r>
        <w:rPr>
          <w:rFonts w:hint="eastAsia"/>
          <w:color w:val="auto"/>
          <w:highlight w:val="none"/>
          <w:lang w:eastAsia="zh-CN"/>
        </w:rPr>
        <w:t>；</w:t>
      </w:r>
      <w:r>
        <w:rPr>
          <w:color w:val="auto"/>
          <w:highlight w:val="none"/>
        </w:rPr>
        <w:t>年平均风速2.2m/s,历年最大风力8~9级，般风力1~3级，最大风速27 m/s</w:t>
      </w:r>
      <w:r>
        <w:rPr>
          <w:rFonts w:hint="eastAsia"/>
          <w:color w:val="auto"/>
          <w:highlight w:val="none"/>
          <w:lang w:eastAsia="zh-CN"/>
        </w:rPr>
        <w:t>，</w:t>
      </w:r>
      <w:r>
        <w:rPr>
          <w:color w:val="auto"/>
          <w:highlight w:val="none"/>
        </w:rPr>
        <w:t>常年主导风向为东北风，夏季主导风向为偏南风;雨量充沛，全年降水日数为156</w:t>
      </w:r>
      <w:r>
        <w:rPr>
          <w:rFonts w:hint="eastAsia"/>
          <w:color w:val="auto"/>
          <w:highlight w:val="none"/>
          <w:lang w:val="en-US" w:eastAsia="zh-CN"/>
        </w:rPr>
        <w:t>~</w:t>
      </w:r>
      <w:r>
        <w:rPr>
          <w:color w:val="auto"/>
          <w:highlight w:val="none"/>
        </w:rPr>
        <w:t>171天，多年平均降雨量1329.8 mm。降水高峰出现在5月份，月雨量在193.9</w:t>
      </w:r>
      <w:r>
        <w:rPr>
          <w:rFonts w:hint="eastAsia"/>
          <w:color w:val="auto"/>
          <w:highlight w:val="none"/>
          <w:lang w:val="en-US" w:eastAsia="zh-CN"/>
        </w:rPr>
        <w:t>~</w:t>
      </w:r>
      <w:r>
        <w:rPr>
          <w:color w:val="auto"/>
          <w:highlight w:val="none"/>
        </w:rPr>
        <w:t>212.1mm之间。日降水量&gt;50 mm的暴雨往往出现在5至8月，日降水强度最大达到217.4mm。降水强度最小的月降水量为零。多年平均蒸发量为1394~1363 mm,历年最大集雪厚度17 mm</w:t>
      </w:r>
      <w:r>
        <w:rPr>
          <w:rFonts w:hint="eastAsia"/>
          <w:color w:val="auto"/>
          <w:highlight w:val="none"/>
          <w:lang w:eastAsia="zh-CN"/>
        </w:rPr>
        <w:t>，</w:t>
      </w:r>
      <w:r>
        <w:rPr>
          <w:color w:val="auto"/>
          <w:highlight w:val="none"/>
        </w:rPr>
        <w:t>平均冰冻期9~12天，无霜期287天</w:t>
      </w:r>
      <w:r>
        <w:rPr>
          <w:rFonts w:hint="eastAsia"/>
          <w:color w:val="auto"/>
          <w:highlight w:val="none"/>
          <w:lang w:eastAsia="zh-CN"/>
        </w:rPr>
        <w:t>；</w:t>
      </w:r>
      <w:r>
        <w:rPr>
          <w:color w:val="auto"/>
          <w:highlight w:val="none"/>
        </w:rPr>
        <w:t>年平均日照数为1695.3h</w:t>
      </w:r>
      <w:r>
        <w:rPr>
          <w:rFonts w:hint="eastAsia"/>
          <w:color w:val="auto"/>
          <w:highlight w:val="none"/>
          <w:lang w:eastAsia="zh-CN"/>
        </w:rPr>
        <w:t>，</w:t>
      </w:r>
      <w:r>
        <w:rPr>
          <w:color w:val="auto"/>
          <w:highlight w:val="none"/>
        </w:rPr>
        <w:t>全年日照率为38%</w:t>
      </w:r>
      <w:r>
        <w:rPr>
          <w:rFonts w:hint="eastAsia"/>
          <w:color w:val="auto"/>
          <w:highlight w:val="none"/>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20" w:afterLines="0" w:line="360" w:lineRule="auto"/>
        <w:jc w:val="left"/>
        <w:textAlignment w:val="auto"/>
        <w:outlineLvl w:val="1"/>
        <w:rPr>
          <w:rFonts w:hint="eastAsia" w:cs="Times New Roman"/>
          <w:b/>
          <w:bCs/>
          <w:color w:val="auto"/>
          <w:sz w:val="28"/>
          <w:szCs w:val="28"/>
          <w:highlight w:val="none"/>
          <w:vertAlign w:val="baseline"/>
          <w:lang w:val="en-US" w:eastAsia="zh-CN"/>
        </w:rPr>
      </w:pPr>
      <w:r>
        <w:rPr>
          <w:rFonts w:hint="default" w:ascii="Times New Roman" w:hAnsi="Times New Roman" w:cs="Times New Roman"/>
          <w:b/>
          <w:bCs/>
          <w:color w:val="auto"/>
          <w:sz w:val="28"/>
          <w:szCs w:val="28"/>
          <w:highlight w:val="none"/>
          <w:vertAlign w:val="baseline"/>
          <w:lang w:val="en-US" w:eastAsia="zh-CN"/>
        </w:rPr>
        <w:t>1.</w:t>
      </w:r>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2地形地貌</w:t>
      </w:r>
    </w:p>
    <w:p>
      <w:pPr>
        <w:bidi w:val="0"/>
        <w:rPr>
          <w:color w:val="auto"/>
          <w:highlight w:val="none"/>
        </w:rPr>
      </w:pPr>
      <w:r>
        <w:rPr>
          <w:color w:val="auto"/>
          <w:highlight w:val="none"/>
        </w:rPr>
        <w:t>项目区所在地衡阳市地处湖南省凹形面的轴带部分，周围环绕着古老岩层形成的断续环带状的岭脊山地，内镶大面积白垩系和下第三系红层的红色丘陵台地，构成典型的盆地形势。衡阳盆地南高北低。整个盆地南面地势较高，100</w:t>
      </w:r>
      <w:r>
        <w:rPr>
          <w:rFonts w:hint="eastAsia"/>
          <w:color w:val="auto"/>
          <w:highlight w:val="none"/>
          <w:lang w:val="en-US" w:eastAsia="zh-CN"/>
        </w:rPr>
        <w:t>0m</w:t>
      </w:r>
      <w:r>
        <w:rPr>
          <w:color w:val="auto"/>
          <w:highlight w:val="none"/>
        </w:rPr>
        <w:t>以上的山中东西连绵数十公里，而盆地北面相对偏低，衡山山脉虽较高，但各峰呈峰林状屹立于中间，其东西两侧都有较低的向北通道，其东侧的湘江河谷两岸海拔高度均在10</w:t>
      </w:r>
      <w:r>
        <w:rPr>
          <w:rFonts w:hint="eastAsia"/>
          <w:color w:val="auto"/>
          <w:highlight w:val="none"/>
          <w:lang w:val="en-US" w:eastAsia="zh-CN"/>
        </w:rPr>
        <w:t>0</w:t>
      </w:r>
      <w:r>
        <w:rPr>
          <w:color w:val="auto"/>
          <w:highlight w:val="none"/>
        </w:rPr>
        <w:t> m以下。整个地势由西南向东北复倾斜，而盆地由四周向中部降低，呈现100 </w:t>
      </w:r>
      <w:r>
        <w:rPr>
          <w:rFonts w:hint="eastAsia"/>
          <w:color w:val="auto"/>
          <w:highlight w:val="none"/>
          <w:lang w:val="en-US" w:eastAsia="zh-CN"/>
        </w:rPr>
        <w:t>0m、</w:t>
      </w:r>
      <w:r>
        <w:rPr>
          <w:color w:val="auto"/>
          <w:highlight w:val="none"/>
        </w:rPr>
        <w:t>80</w:t>
      </w:r>
      <w:r>
        <w:rPr>
          <w:rFonts w:hint="eastAsia"/>
          <w:color w:val="auto"/>
          <w:highlight w:val="none"/>
          <w:lang w:val="en-US" w:eastAsia="zh-CN"/>
        </w:rPr>
        <w:t>0~</w:t>
      </w:r>
      <w:r>
        <w:rPr>
          <w:color w:val="auto"/>
          <w:highlight w:val="none"/>
        </w:rPr>
        <w:t>70</w:t>
      </w:r>
      <w:r>
        <w:rPr>
          <w:rFonts w:hint="eastAsia"/>
          <w:color w:val="auto"/>
          <w:highlight w:val="none"/>
          <w:lang w:val="en-US" w:eastAsia="zh-CN"/>
        </w:rPr>
        <w:t>0</w:t>
      </w:r>
      <w:r>
        <w:rPr>
          <w:color w:val="auto"/>
          <w:highlight w:val="none"/>
        </w:rPr>
        <w:t> m</w:t>
      </w:r>
      <w:r>
        <w:rPr>
          <w:rFonts w:hint="eastAsia"/>
          <w:color w:val="auto"/>
          <w:highlight w:val="none"/>
          <w:lang w:eastAsia="zh-CN"/>
        </w:rPr>
        <w:t>，</w:t>
      </w:r>
      <w:r>
        <w:rPr>
          <w:color w:val="auto"/>
          <w:highlight w:val="none"/>
        </w:rPr>
        <w:t> 400</w:t>
      </w:r>
      <w:r>
        <w:rPr>
          <w:rFonts w:hint="eastAsia"/>
          <w:color w:val="auto"/>
          <w:highlight w:val="none"/>
          <w:lang w:val="en-US" w:eastAsia="zh-CN"/>
        </w:rPr>
        <w:t>~</w:t>
      </w:r>
      <w:r>
        <w:rPr>
          <w:color w:val="auto"/>
          <w:highlight w:val="none"/>
        </w:rPr>
        <w:t>300 m </w:t>
      </w:r>
      <w:r>
        <w:rPr>
          <w:rFonts w:hint="eastAsia"/>
          <w:color w:val="auto"/>
          <w:highlight w:val="none"/>
          <w:lang w:eastAsia="zh-CN"/>
        </w:rPr>
        <w:t>、</w:t>
      </w:r>
      <w:r>
        <w:rPr>
          <w:color w:val="auto"/>
          <w:highlight w:val="none"/>
        </w:rPr>
        <w:t>150 m四级夷为平面。地貌类型多样，以岗丘为主，四周山、丘围绕，中部平、岗丘交错，山</w:t>
      </w:r>
      <w:r>
        <w:rPr>
          <w:rFonts w:hint="eastAsia"/>
          <w:color w:val="auto"/>
          <w:highlight w:val="none"/>
          <w:lang w:eastAsia="zh-CN"/>
        </w:rPr>
        <w:t>、</w:t>
      </w:r>
      <w:r>
        <w:rPr>
          <w:color w:val="auto"/>
          <w:highlight w:val="none"/>
        </w:rPr>
        <w:t>丘、岗、平兼有，按成因分为流水和岩溶地貌两大类，以流水地貌为主，占全市总面积的74.6%</w:t>
      </w:r>
      <w:r>
        <w:rPr>
          <w:rFonts w:hint="eastAsia"/>
          <w:color w:val="auto"/>
          <w:highlight w:val="none"/>
          <w:lang w:eastAsia="zh-CN"/>
        </w:rPr>
        <w:t>，</w:t>
      </w:r>
      <w:r>
        <w:rPr>
          <w:color w:val="auto"/>
          <w:highlight w:val="none"/>
        </w:rPr>
        <w:t>按形态分类</w:t>
      </w:r>
      <w:r>
        <w:rPr>
          <w:rFonts w:hint="eastAsia"/>
          <w:color w:val="auto"/>
          <w:highlight w:val="none"/>
          <w:lang w:eastAsia="zh-CN"/>
        </w:rPr>
        <w:t>，</w:t>
      </w:r>
      <w:r>
        <w:rPr>
          <w:color w:val="auto"/>
          <w:highlight w:val="none"/>
        </w:rPr>
        <w:t>平原占总面积的20.8%</w:t>
      </w:r>
      <w:r>
        <w:rPr>
          <w:rFonts w:hint="eastAsia"/>
          <w:color w:val="auto"/>
          <w:highlight w:val="none"/>
          <w:lang w:eastAsia="zh-CN"/>
        </w:rPr>
        <w:t>、</w:t>
      </w:r>
      <w:r>
        <w:rPr>
          <w:color w:val="auto"/>
          <w:highlight w:val="none"/>
        </w:rPr>
        <w:t>岗地占24.32%、丘陵占26.47%、山地占21.17%、水面占4.24%</w:t>
      </w:r>
      <w:r>
        <w:rPr>
          <w:rFonts w:hint="eastAsia"/>
          <w:color w:val="auto"/>
          <w:highlight w:val="none"/>
          <w:lang w:eastAsia="zh-CN"/>
        </w:rPr>
        <w:t>，</w:t>
      </w:r>
      <w:r>
        <w:rPr>
          <w:color w:val="auto"/>
          <w:highlight w:val="none"/>
        </w:rPr>
        <w:t>水面</w:t>
      </w:r>
      <w:r>
        <w:rPr>
          <w:rFonts w:hint="eastAsia"/>
          <w:color w:val="auto"/>
          <w:highlight w:val="none"/>
          <w:lang w:eastAsia="zh-CN"/>
        </w:rPr>
        <w:t>：</w:t>
      </w:r>
      <w:r>
        <w:rPr>
          <w:color w:val="auto"/>
          <w:highlight w:val="none"/>
        </w:rPr>
        <w:t>平原</w:t>
      </w:r>
      <w:r>
        <w:rPr>
          <w:rFonts w:hint="eastAsia"/>
          <w:color w:val="auto"/>
          <w:highlight w:val="none"/>
          <w:lang w:eastAsia="zh-CN"/>
        </w:rPr>
        <w:t>：</w:t>
      </w:r>
      <w:r>
        <w:rPr>
          <w:color w:val="auto"/>
          <w:highlight w:val="none"/>
        </w:rPr>
        <w:t>岗地</w:t>
      </w:r>
      <w:r>
        <w:rPr>
          <w:rFonts w:hint="eastAsia"/>
          <w:color w:val="auto"/>
          <w:highlight w:val="none"/>
          <w:lang w:eastAsia="zh-CN"/>
        </w:rPr>
        <w:t>：</w:t>
      </w:r>
      <w:r>
        <w:rPr>
          <w:color w:val="auto"/>
          <w:highlight w:val="none"/>
        </w:rPr>
        <w:t>丘陵</w:t>
      </w:r>
      <w:r>
        <w:rPr>
          <w:rFonts w:hint="eastAsia"/>
          <w:color w:val="auto"/>
          <w:highlight w:val="none"/>
          <w:lang w:eastAsia="zh-CN"/>
        </w:rPr>
        <w:t>：</w:t>
      </w:r>
      <w:r>
        <w:rPr>
          <w:color w:val="auto"/>
          <w:highlight w:val="none"/>
        </w:rPr>
        <w:t>山地为1</w:t>
      </w:r>
      <w:r>
        <w:rPr>
          <w:rFonts w:hint="eastAsia"/>
          <w:color w:val="auto"/>
          <w:highlight w:val="none"/>
          <w:lang w:eastAsia="zh-CN"/>
        </w:rPr>
        <w:t>：</w:t>
      </w:r>
      <w:r>
        <w:rPr>
          <w:color w:val="auto"/>
          <w:highlight w:val="none"/>
        </w:rPr>
        <w:t>4.91</w:t>
      </w:r>
      <w:r>
        <w:rPr>
          <w:rFonts w:hint="eastAsia"/>
          <w:color w:val="auto"/>
          <w:highlight w:val="none"/>
          <w:lang w:eastAsia="zh-CN"/>
        </w:rPr>
        <w:t>：</w:t>
      </w:r>
      <w:r>
        <w:rPr>
          <w:color w:val="auto"/>
          <w:highlight w:val="none"/>
        </w:rPr>
        <w:t>6.45</w:t>
      </w:r>
      <w:r>
        <w:rPr>
          <w:rFonts w:hint="eastAsia"/>
          <w:color w:val="auto"/>
          <w:highlight w:val="none"/>
          <w:lang w:eastAsia="zh-CN"/>
        </w:rPr>
        <w:t>：</w:t>
      </w:r>
      <w:r>
        <w:rPr>
          <w:color w:val="auto"/>
          <w:highlight w:val="none"/>
        </w:rPr>
        <w:t>6.25</w:t>
      </w:r>
      <w:r>
        <w:rPr>
          <w:rFonts w:hint="eastAsia"/>
          <w:color w:val="auto"/>
          <w:highlight w:val="none"/>
          <w:lang w:eastAsia="zh-CN"/>
        </w:rPr>
        <w:t>：</w:t>
      </w:r>
      <w:r>
        <w:rPr>
          <w:color w:val="auto"/>
          <w:highlight w:val="none"/>
        </w:rPr>
        <w:t>4.99。境内山地以低山、中低山为主，多分布于市境边缘</w:t>
      </w:r>
      <w:r>
        <w:rPr>
          <w:rFonts w:hint="eastAsia"/>
          <w:color w:val="auto"/>
          <w:highlight w:val="none"/>
          <w:lang w:eastAsia="zh-CN"/>
        </w:rPr>
        <w:t>；</w:t>
      </w:r>
      <w:r>
        <w:rPr>
          <w:color w:val="auto"/>
          <w:highlight w:val="none"/>
        </w:rPr>
        <w:t>丘陵多分布于盆地边缘山地内侧的的山麓和盆地中部，是山地向岗平的过度地带;岗地则以红土壤和紫色砂岩为主，岗平交错成网络壮展布，分布在海拨150 m以下，目前大部分被垦为</w:t>
      </w:r>
      <w:r>
        <w:rPr>
          <w:rFonts w:hint="eastAsia"/>
          <w:color w:val="auto"/>
          <w:highlight w:val="none"/>
          <w:lang w:val="en-US" w:eastAsia="zh-CN"/>
        </w:rPr>
        <w:t>旱</w:t>
      </w:r>
      <w:r>
        <w:rPr>
          <w:color w:val="auto"/>
          <w:highlight w:val="none"/>
        </w:rPr>
        <w:t>土，未垦殖的多为荒地，水土流失严重。平原以溪谷平原为主，占平原面积的61%，呈树枝状分布在沿河两岸，水土流失轻微。途径地区的地形地貌以丘陵、岗地、平原为主。</w:t>
      </w:r>
    </w:p>
    <w:p>
      <w:pPr>
        <w:spacing w:line="360" w:lineRule="auto"/>
        <w:ind w:firstLine="470" w:firstLineChars="196"/>
        <w:rPr>
          <w:bCs/>
          <w:color w:val="auto"/>
          <w:highlight w:val="none"/>
        </w:rPr>
      </w:pPr>
      <w:r>
        <w:rPr>
          <w:color w:val="auto"/>
          <w:highlight w:val="none"/>
        </w:rPr>
        <w:t>项目区地形起伏较小，地面较平坦，水土流失轻度，西南角为整个地块的最高点，标高为89.5~-90.2</w:t>
      </w:r>
      <w:r>
        <w:rPr>
          <w:rFonts w:hint="eastAsia"/>
          <w:color w:val="auto"/>
          <w:highlight w:val="none"/>
          <w:lang w:val="en-US" w:eastAsia="zh-CN"/>
        </w:rPr>
        <w:t>m</w:t>
      </w:r>
      <w:r>
        <w:rPr>
          <w:color w:val="auto"/>
          <w:highlight w:val="none"/>
        </w:rPr>
        <w:t>(绝对标高)。东北角为整个地块的最低点，标高为66.2~67.8m(绝对标高)。A区征地范围内，南邻衡州大道:B、C区征地范围内，为居民住宅区及商业区。</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20" w:afterLines="0" w:line="360" w:lineRule="auto"/>
        <w:jc w:val="left"/>
        <w:textAlignment w:val="auto"/>
        <w:outlineLvl w:val="1"/>
        <w:rPr>
          <w:rFonts w:hint="default" w:cs="Times New Roman"/>
          <w:b/>
          <w:bCs/>
          <w:color w:val="auto"/>
          <w:sz w:val="28"/>
          <w:szCs w:val="28"/>
          <w:highlight w:val="none"/>
          <w:vertAlign w:val="baseline"/>
          <w:lang w:val="en-US" w:eastAsia="zh-CN"/>
        </w:rPr>
      </w:pPr>
      <w:r>
        <w:rPr>
          <w:rFonts w:hint="default" w:ascii="Times New Roman" w:hAnsi="Times New Roman" w:cs="Times New Roman"/>
          <w:b/>
          <w:bCs/>
          <w:color w:val="auto"/>
          <w:sz w:val="28"/>
          <w:szCs w:val="28"/>
          <w:highlight w:val="none"/>
          <w:vertAlign w:val="baseline"/>
          <w:lang w:val="en-US" w:eastAsia="zh-CN"/>
        </w:rPr>
        <w:t>1.</w:t>
      </w:r>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3水文</w:t>
      </w:r>
    </w:p>
    <w:p>
      <w:pPr>
        <w:bidi w:val="0"/>
        <w:rPr>
          <w:color w:val="auto"/>
          <w:highlight w:val="none"/>
        </w:rPr>
      </w:pPr>
      <w:r>
        <w:rPr>
          <w:color w:val="auto"/>
          <w:highlight w:val="none"/>
        </w:rPr>
        <w:t>项目区系湘江水系。据衡阳水文站统计资料，湘江流域集水面积521507 km</w:t>
      </w:r>
      <w:r>
        <w:rPr>
          <w:rFonts w:hint="eastAsia"/>
          <w:color w:val="auto"/>
          <w:highlight w:val="none"/>
          <w:lang w:val="en-US" w:eastAsia="zh-CN"/>
        </w:rPr>
        <w:t>2</w:t>
      </w:r>
      <w:r>
        <w:rPr>
          <w:color w:val="auto"/>
          <w:highlight w:val="none"/>
        </w:rPr>
        <w:t>，多年平均水位48.73m，大原渡电站建成后，水位相对提高2 m左右，多年平均流量5372 m</w:t>
      </w:r>
      <w:r>
        <w:rPr>
          <w:rFonts w:hint="eastAsia"/>
          <w:color w:val="auto"/>
          <w:highlight w:val="none"/>
          <w:lang w:val="en-US" w:eastAsia="zh-CN"/>
        </w:rPr>
        <w:t>3</w:t>
      </w:r>
      <w:r>
        <w:rPr>
          <w:color w:val="auto"/>
          <w:highlight w:val="none"/>
        </w:rPr>
        <w:t>/s，多年平均径流量为418.07亿m</w:t>
      </w:r>
      <w:r>
        <w:rPr>
          <w:rFonts w:hint="eastAsia"/>
          <w:color w:val="auto"/>
          <w:highlight w:val="none"/>
          <w:lang w:val="en-US" w:eastAsia="zh-CN"/>
        </w:rPr>
        <w:t>3</w:t>
      </w:r>
      <w:r>
        <w:rPr>
          <w:color w:val="auto"/>
          <w:highlight w:val="none"/>
        </w:rPr>
        <w:t>，含沙量0.068kg/m</w:t>
      </w:r>
      <w:r>
        <w:rPr>
          <w:rFonts w:hint="eastAsia"/>
          <w:color w:val="auto"/>
          <w:highlight w:val="none"/>
          <w:lang w:val="en-US" w:eastAsia="zh-CN"/>
        </w:rPr>
        <w:t>3</w:t>
      </w:r>
      <w:r>
        <w:rPr>
          <w:color w:val="auto"/>
          <w:highlight w:val="none"/>
        </w:rPr>
        <w:t>，洪水期一般出现在5月，枯水期一般出现在1月。</w:t>
      </w:r>
    </w:p>
    <w:p>
      <w:pPr>
        <w:spacing w:line="360" w:lineRule="auto"/>
        <w:ind w:firstLine="480"/>
        <w:rPr>
          <w:color w:val="auto"/>
          <w:highlight w:val="none"/>
        </w:rPr>
      </w:pPr>
      <w:r>
        <w:rPr>
          <w:color w:val="auto"/>
          <w:highlight w:val="none"/>
        </w:rPr>
        <w:t>统计1950</w:t>
      </w:r>
      <w:r>
        <w:rPr>
          <w:rFonts w:hint="eastAsia"/>
          <w:color w:val="auto"/>
          <w:highlight w:val="none"/>
          <w:lang w:val="en-US" w:eastAsia="zh-CN"/>
        </w:rPr>
        <w:t>~</w:t>
      </w:r>
      <w:r>
        <w:rPr>
          <w:color w:val="auto"/>
          <w:highlight w:val="none"/>
        </w:rPr>
        <w:t>2010年实测成果，其降雨年际、年内分配极不均匀，年内雨季(3</w:t>
      </w:r>
      <w:r>
        <w:rPr>
          <w:rFonts w:hint="eastAsia"/>
          <w:color w:val="auto"/>
          <w:highlight w:val="none"/>
          <w:lang w:val="en-US" w:eastAsia="zh-CN"/>
        </w:rPr>
        <w:t>~</w:t>
      </w:r>
      <w:r>
        <w:rPr>
          <w:color w:val="auto"/>
          <w:highlight w:val="none"/>
        </w:rPr>
        <w:t>8月)降雨量占全年的68.2</w:t>
      </w:r>
      <w:r>
        <w:rPr>
          <w:rFonts w:hint="eastAsia"/>
          <w:color w:val="auto"/>
          <w:highlight w:val="none"/>
          <w:lang w:val="en-US" w:eastAsia="zh-CN"/>
        </w:rPr>
        <w:t>%，</w:t>
      </w:r>
      <w:r>
        <w:rPr>
          <w:color w:val="auto"/>
          <w:highlight w:val="none"/>
        </w:rPr>
        <w:t>年最大与最小雨量相差8</w:t>
      </w:r>
      <w:r>
        <w:rPr>
          <w:rFonts w:hint="eastAsia"/>
          <w:color w:val="auto"/>
          <w:highlight w:val="none"/>
          <w:lang w:val="en-US" w:eastAsia="zh-CN"/>
        </w:rPr>
        <w:t>8</w:t>
      </w:r>
      <w:r>
        <w:rPr>
          <w:color w:val="auto"/>
          <w:highlight w:val="none"/>
        </w:rPr>
        <w:t>7 m</w:t>
      </w:r>
      <w:r>
        <w:rPr>
          <w:rFonts w:hint="eastAsia"/>
          <w:color w:val="auto"/>
          <w:highlight w:val="none"/>
          <w:lang w:val="en-US" w:eastAsia="zh-CN"/>
        </w:rPr>
        <w:t>m。</w:t>
      </w:r>
      <w:r>
        <w:rPr>
          <w:color w:val="auto"/>
          <w:highlight w:val="none"/>
        </w:rPr>
        <w:t>实测最大24小时暴雨外197.5m</w:t>
      </w:r>
      <w:r>
        <w:rPr>
          <w:rFonts w:hint="eastAsia"/>
          <w:color w:val="auto"/>
          <w:highlight w:val="none"/>
          <w:lang w:val="en-US" w:eastAsia="zh-CN"/>
        </w:rPr>
        <w:t>m</w:t>
      </w:r>
      <w:r>
        <w:rPr>
          <w:color w:val="auto"/>
          <w:highlight w:val="none"/>
        </w:rPr>
        <w:t>,3日暴雨307.5 m</w:t>
      </w:r>
      <w:r>
        <w:rPr>
          <w:rFonts w:hint="eastAsia"/>
          <w:color w:val="auto"/>
          <w:highlight w:val="none"/>
          <w:lang w:val="en-US" w:eastAsia="zh-CN"/>
        </w:rPr>
        <w:t>m。</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20" w:afterLines="0" w:line="360" w:lineRule="auto"/>
        <w:jc w:val="left"/>
        <w:textAlignment w:val="auto"/>
        <w:outlineLvl w:val="1"/>
        <w:rPr>
          <w:rFonts w:hint="eastAsia" w:cs="Times New Roman"/>
          <w:b/>
          <w:bCs/>
          <w:color w:val="auto"/>
          <w:sz w:val="28"/>
          <w:szCs w:val="28"/>
          <w:highlight w:val="none"/>
          <w:vertAlign w:val="baseline"/>
          <w:lang w:val="en-US" w:eastAsia="zh-CN"/>
        </w:rPr>
      </w:pPr>
      <w:r>
        <w:rPr>
          <w:rFonts w:hint="default" w:ascii="Times New Roman" w:hAnsi="Times New Roman" w:cs="Times New Roman"/>
          <w:b/>
          <w:bCs/>
          <w:color w:val="auto"/>
          <w:sz w:val="28"/>
          <w:szCs w:val="28"/>
          <w:highlight w:val="none"/>
          <w:vertAlign w:val="baseline"/>
          <w:lang w:val="en-US" w:eastAsia="zh-CN"/>
        </w:rPr>
        <w:t>1.</w:t>
      </w:r>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4地质地震</w:t>
      </w:r>
    </w:p>
    <w:p>
      <w:pPr>
        <w:bidi w:val="0"/>
        <w:rPr>
          <w:color w:val="auto"/>
          <w:highlight w:val="none"/>
        </w:rPr>
      </w:pPr>
      <w:r>
        <w:rPr>
          <w:color w:val="auto"/>
          <w:highlight w:val="none"/>
        </w:rPr>
        <w:t>项目位于衡阳盆地中部，有白垩系与第三系地层沉积厚度大于90</w:t>
      </w:r>
      <w:r>
        <w:rPr>
          <w:rFonts w:hint="eastAsia"/>
          <w:color w:val="auto"/>
          <w:highlight w:val="none"/>
          <w:lang w:val="en-US" w:eastAsia="zh-CN"/>
        </w:rPr>
        <w:t>00</w:t>
      </w:r>
      <w:r>
        <w:rPr>
          <w:color w:val="auto"/>
          <w:highlight w:val="none"/>
        </w:rPr>
        <w:t>m，盖层中断裂构造不甚发育，地层产状平缓，一般0</w:t>
      </w:r>
      <w:r>
        <w:rPr>
          <w:rFonts w:hint="eastAsia"/>
          <w:color w:val="auto"/>
          <w:highlight w:val="none"/>
          <w:lang w:val="en-US" w:eastAsia="zh-CN"/>
        </w:rPr>
        <w:t>~</w:t>
      </w:r>
      <w:r>
        <w:rPr>
          <w:color w:val="auto"/>
          <w:highlight w:val="none"/>
        </w:rPr>
        <w:t>15</w:t>
      </w:r>
      <w:r>
        <w:rPr>
          <w:rFonts w:hint="eastAsia"/>
          <w:color w:val="auto"/>
          <w:highlight w:val="none"/>
          <w:lang w:val="en-US" w:eastAsia="zh-CN"/>
        </w:rPr>
        <w:t>°</w:t>
      </w:r>
      <w:r>
        <w:rPr>
          <w:color w:val="auto"/>
          <w:highlight w:val="none"/>
        </w:rPr>
        <w:t>左右，构成宽缓的背向斜，区域构造形迹主要有出露于该区西北部的衡山</w:t>
      </w:r>
      <w:r>
        <w:rPr>
          <w:rFonts w:hint="eastAsia"/>
          <w:color w:val="auto"/>
          <w:highlight w:val="none"/>
          <w:lang w:eastAsia="zh-CN"/>
        </w:rPr>
        <w:t>——</w:t>
      </w:r>
      <w:r>
        <w:rPr>
          <w:color w:val="auto"/>
          <w:highlight w:val="none"/>
        </w:rPr>
        <w:t>排山断裂带，距该区20 km,主要断裂有北东向八井田</w:t>
      </w:r>
      <w:r>
        <w:rPr>
          <w:rFonts w:hint="eastAsia"/>
          <w:color w:val="auto"/>
          <w:highlight w:val="none"/>
          <w:lang w:eastAsia="zh-CN"/>
        </w:rPr>
        <w:t>—</w:t>
      </w:r>
      <w:r>
        <w:rPr>
          <w:color w:val="auto"/>
          <w:highlight w:val="none"/>
        </w:rPr>
        <w:t>白鹭坳断裂，鱼子塘断裂，瓦瑶田断裂，断层面倾向北西。东南部有衡东</w:t>
      </w:r>
      <w:r>
        <w:rPr>
          <w:rFonts w:hint="eastAsia"/>
          <w:color w:val="auto"/>
          <w:highlight w:val="none"/>
          <w:lang w:eastAsia="zh-CN"/>
        </w:rPr>
        <w:t>—</w:t>
      </w:r>
      <w:r>
        <w:rPr>
          <w:color w:val="auto"/>
          <w:highlight w:val="none"/>
        </w:rPr>
        <w:t>茅桐桥断湖裂带，距该区约10</w:t>
      </w:r>
      <w:r>
        <w:rPr>
          <w:rFonts w:hint="eastAsia"/>
          <w:color w:val="auto"/>
          <w:highlight w:val="none"/>
          <w:lang w:val="en-US" w:eastAsia="zh-CN"/>
        </w:rPr>
        <w:t>~</w:t>
      </w:r>
      <w:r>
        <w:rPr>
          <w:color w:val="auto"/>
          <w:highlight w:val="none"/>
        </w:rPr>
        <w:t>15 kn。主要断裂有洪山庙断裂、樟树湾断裂、毛雅冲断裂等。以上山两北东向断裂带在加里东期即已形成，印支、燕山至喜山期均有活动，具有多次活动的造特点，在红层中可见该组断裂的出露。项目区内断裂构造不发育。</w:t>
      </w:r>
    </w:p>
    <w:p>
      <w:pPr>
        <w:bidi w:val="0"/>
        <w:rPr>
          <w:color w:val="auto"/>
          <w:highlight w:val="none"/>
        </w:rPr>
      </w:pPr>
      <w:r>
        <w:rPr>
          <w:color w:val="auto"/>
          <w:highlight w:val="none"/>
        </w:rPr>
        <w:t>根据已获得资料和现场观察，衡阳盆地内总体上新构造运动欠发育，项目区新构造形迹不发育，属相对稳定区。从地貌景观来看，表观为构造剥蚀红色丘陵地貌。第四系形成多级阶地，表明第四纪以来为相对稳定拾升的构造特征。</w:t>
      </w:r>
    </w:p>
    <w:p>
      <w:pPr>
        <w:bidi w:val="0"/>
        <w:rPr>
          <w:color w:val="auto"/>
          <w:highlight w:val="none"/>
        </w:rPr>
      </w:pPr>
      <w:r>
        <w:rPr>
          <w:color w:val="auto"/>
          <w:highlight w:val="none"/>
        </w:rPr>
        <w:t>据历史和近期资料已载，衡阳地区曾先后发生过有感地震100余次，轻微地震5次。据湖南省地</w:t>
      </w:r>
      <w:r>
        <w:rPr>
          <w:rFonts w:hint="eastAsia"/>
          <w:color w:val="auto"/>
          <w:highlight w:val="none"/>
          <w:lang w:val="en-US" w:eastAsia="zh-CN"/>
        </w:rPr>
        <w:t>震队</w:t>
      </w:r>
      <w:r>
        <w:rPr>
          <w:color w:val="auto"/>
          <w:highlight w:val="none"/>
        </w:rPr>
        <w:t>1976年资料，认为界牌至盐田桥区域性大断裂(为区域性长寿街</w:t>
      </w:r>
      <w:r>
        <w:rPr>
          <w:rFonts w:hint="eastAsia"/>
          <w:color w:val="auto"/>
          <w:highlight w:val="none"/>
          <w:lang w:eastAsia="zh-CN"/>
        </w:rPr>
        <w:t>—</w:t>
      </w:r>
      <w:r>
        <w:rPr>
          <w:color w:val="auto"/>
          <w:highlight w:val="none"/>
        </w:rPr>
        <w:t>观音</w:t>
      </w:r>
      <w:r>
        <w:rPr>
          <w:rFonts w:hint="eastAsia"/>
          <w:color w:val="auto"/>
          <w:highlight w:val="none"/>
          <w:lang w:val="en-US" w:eastAsia="zh-CN"/>
        </w:rPr>
        <w:t>阁深大断</w:t>
      </w:r>
      <w:r>
        <w:rPr>
          <w:color w:val="auto"/>
          <w:highlight w:val="none"/>
        </w:rPr>
        <w:t>裂)系</w:t>
      </w:r>
      <w:r>
        <w:rPr>
          <w:rFonts w:hint="eastAsia"/>
          <w:color w:val="auto"/>
          <w:highlight w:val="none"/>
          <w:lang w:val="en-US" w:eastAsia="zh-CN"/>
        </w:rPr>
        <w:t>活</w:t>
      </w:r>
      <w:r>
        <w:rPr>
          <w:color w:val="auto"/>
          <w:highlight w:val="none"/>
        </w:rPr>
        <w:t>动性，</w:t>
      </w:r>
      <w:r>
        <w:rPr>
          <w:rFonts w:hint="eastAsia"/>
          <w:color w:val="auto"/>
          <w:highlight w:val="none"/>
          <w:lang w:val="en-US" w:eastAsia="zh-CN"/>
        </w:rPr>
        <w:t>并</w:t>
      </w:r>
      <w:r>
        <w:rPr>
          <w:color w:val="auto"/>
          <w:highlight w:val="none"/>
        </w:rPr>
        <w:t>在西</w:t>
      </w:r>
      <w:r>
        <w:rPr>
          <w:rFonts w:hint="eastAsia"/>
          <w:color w:val="auto"/>
          <w:highlight w:val="none"/>
          <w:lang w:val="en-US" w:eastAsia="zh-CN"/>
        </w:rPr>
        <w:t>渡</w:t>
      </w:r>
      <w:r>
        <w:rPr>
          <w:color w:val="auto"/>
          <w:highlight w:val="none"/>
        </w:rPr>
        <w:t>北东出现</w:t>
      </w:r>
      <w:r>
        <w:rPr>
          <w:rFonts w:hint="eastAsia"/>
          <w:color w:val="auto"/>
          <w:highlight w:val="none"/>
          <w:lang w:val="en-US" w:eastAsia="zh-CN"/>
        </w:rPr>
        <w:t>震</w:t>
      </w:r>
      <w:r>
        <w:rPr>
          <w:color w:val="auto"/>
          <w:highlight w:val="none"/>
        </w:rPr>
        <w:t>中位置。此断裂在该区西北部相距约40 km</w:t>
      </w:r>
      <w:r>
        <w:rPr>
          <w:rFonts w:hint="eastAsia"/>
          <w:color w:val="auto"/>
          <w:highlight w:val="none"/>
          <w:lang w:eastAsia="zh-CN"/>
        </w:rPr>
        <w:t>。</w:t>
      </w:r>
      <w:r>
        <w:rPr>
          <w:color w:val="auto"/>
          <w:highlight w:val="none"/>
        </w:rPr>
        <w:t>另据《湖南省地震区划图》(190年版)，该</w:t>
      </w:r>
      <w:r>
        <w:rPr>
          <w:rFonts w:hint="eastAsia"/>
          <w:color w:val="auto"/>
          <w:highlight w:val="none"/>
          <w:lang w:val="en-US" w:eastAsia="zh-CN"/>
        </w:rPr>
        <w:t>区</w:t>
      </w:r>
      <w:r>
        <w:rPr>
          <w:color w:val="auto"/>
          <w:highlight w:val="none"/>
        </w:rPr>
        <w:t>地震基木烈度低于</w:t>
      </w:r>
      <w:r>
        <w:rPr>
          <w:rFonts w:hint="eastAsia"/>
          <w:color w:val="auto"/>
          <w:highlight w:val="none"/>
          <w:lang w:val="en-US" w:eastAsia="zh-CN"/>
        </w:rPr>
        <w:t>Ⅵ</w:t>
      </w:r>
      <w:r>
        <w:rPr>
          <w:color w:val="auto"/>
          <w:highlight w:val="none"/>
        </w:rPr>
        <w:t>度。据《中国地震动参数区划图》(GB18306</w:t>
      </w:r>
      <w:r>
        <w:rPr>
          <w:rFonts w:hint="eastAsia"/>
          <w:color w:val="auto"/>
          <w:highlight w:val="none"/>
          <w:lang w:val="en-US" w:eastAsia="zh-CN"/>
        </w:rPr>
        <w:t>-</w:t>
      </w:r>
      <w:r>
        <w:rPr>
          <w:color w:val="auto"/>
          <w:highlight w:val="none"/>
        </w:rPr>
        <w:t>001)项目区内地震动峰值加速度Q&lt;0.058</w:t>
      </w:r>
      <w:r>
        <w:rPr>
          <w:rFonts w:hint="eastAsia"/>
          <w:color w:val="auto"/>
          <w:highlight w:val="none"/>
          <w:lang w:eastAsia="zh-CN"/>
        </w:rPr>
        <w:t>，</w:t>
      </w:r>
      <w:r>
        <w:rPr>
          <w:color w:val="auto"/>
          <w:highlight w:val="none"/>
        </w:rPr>
        <w:t>地震动反应谱特周期为0.35s。因此，本项目建筑物抗震设防裂度为</w:t>
      </w:r>
      <w:r>
        <w:rPr>
          <w:rFonts w:hint="eastAsia"/>
          <w:color w:val="auto"/>
          <w:highlight w:val="none"/>
          <w:lang w:val="en-US" w:eastAsia="zh-CN"/>
        </w:rPr>
        <w:t>Ⅵ</w:t>
      </w:r>
      <w:r>
        <w:rPr>
          <w:color w:val="auto"/>
          <w:highlight w:val="none"/>
        </w:rPr>
        <w:t>度</w:t>
      </w:r>
      <w:r>
        <w:rPr>
          <w:rFonts w:hint="eastAsia"/>
          <w:color w:val="auto"/>
          <w:highlight w:val="none"/>
          <w:lang w:eastAsia="zh-CN"/>
        </w:rPr>
        <w:t>。</w:t>
      </w:r>
      <w:r>
        <w:rPr>
          <w:rFonts w:hint="eastAsia"/>
          <w:color w:val="auto"/>
          <w:highlight w:val="none"/>
          <w:lang w:val="en-US" w:eastAsia="zh-CN"/>
        </w:rPr>
        <w:t>20</w:t>
      </w:r>
      <w:r>
        <w:rPr>
          <w:color w:val="auto"/>
          <w:highlight w:val="none"/>
        </w:rPr>
        <w:t>03年发生在湘潭和衡阳交界的衡潭地震及2005年11月26日江西九江一带发生的5.7级地震没有波及到本区。项目区属于地震波及区，经现场调查及分析前人资料，区内来发现地震遗迹，地震对工程建设危险小。</w:t>
      </w:r>
    </w:p>
    <w:p>
      <w:pPr>
        <w:pStyle w:val="2"/>
        <w:keepNext w:val="0"/>
        <w:keepLines w:val="0"/>
        <w:pageBreakBefore w:val="0"/>
        <w:widowControl w:val="0"/>
        <w:kinsoku/>
        <w:wordWrap/>
        <w:overflowPunct/>
        <w:topLinePunct w:val="0"/>
        <w:autoSpaceDE/>
        <w:autoSpaceDN/>
        <w:bidi w:val="0"/>
        <w:adjustRightInd w:val="0"/>
        <w:snapToGrid w:val="0"/>
        <w:spacing w:beforeAutospacing="0" w:after="0" w:afterLines="0" w:afterAutospacing="0" w:line="360" w:lineRule="auto"/>
        <w:ind w:left="0" w:leftChars="0" w:firstLine="480" w:firstLineChars="200"/>
        <w:jc w:val="left"/>
        <w:textAlignment w:val="auto"/>
        <w:rPr>
          <w:rFonts w:hAnsi="宋体"/>
          <w:color w:val="auto"/>
          <w:kern w:val="0"/>
          <w:szCs w:val="24"/>
          <w:highlight w:val="none"/>
        </w:rPr>
      </w:pPr>
      <w:r>
        <w:rPr>
          <w:color w:val="auto"/>
          <w:highlight w:val="none"/>
        </w:rPr>
        <w:t>总之，区内出露的地层为第四系全新统、更新统及第三纪茶山坳组地层，地层岩性稳定</w:t>
      </w:r>
      <w:r>
        <w:rPr>
          <w:rFonts w:hint="eastAsia"/>
          <w:color w:val="auto"/>
          <w:highlight w:val="none"/>
          <w:lang w:eastAsia="zh-CN"/>
        </w:rPr>
        <w:t>；</w:t>
      </w:r>
      <w:r>
        <w:rPr>
          <w:color w:val="auto"/>
          <w:highlight w:val="none"/>
        </w:rPr>
        <w:t>区内地质构造不发育</w:t>
      </w:r>
      <w:r>
        <w:rPr>
          <w:rFonts w:hint="eastAsia"/>
          <w:color w:val="auto"/>
          <w:highlight w:val="none"/>
          <w:lang w:eastAsia="zh-CN"/>
        </w:rPr>
        <w:t>；</w:t>
      </w:r>
      <w:r>
        <w:rPr>
          <w:color w:val="auto"/>
          <w:highlight w:val="none"/>
        </w:rPr>
        <w:t>新构造形迹不发育，区域地壳稳定性稳定</w:t>
      </w:r>
      <w:r>
        <w:rPr>
          <w:rFonts w:hint="eastAsia"/>
          <w:color w:val="auto"/>
          <w:highlight w:val="none"/>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20" w:afterLines="0" w:line="360" w:lineRule="auto"/>
        <w:jc w:val="left"/>
        <w:textAlignment w:val="auto"/>
        <w:outlineLvl w:val="1"/>
        <w:rPr>
          <w:rFonts w:hint="eastAsia" w:cs="Times New Roman"/>
          <w:b/>
          <w:bCs/>
          <w:color w:val="auto"/>
          <w:sz w:val="28"/>
          <w:szCs w:val="28"/>
          <w:highlight w:val="none"/>
          <w:vertAlign w:val="baseline"/>
          <w:lang w:val="en-US" w:eastAsia="zh-CN"/>
        </w:rPr>
      </w:pPr>
      <w:r>
        <w:rPr>
          <w:rFonts w:hint="default" w:ascii="Times New Roman" w:hAnsi="Times New Roman" w:cs="Times New Roman"/>
          <w:b/>
          <w:bCs/>
          <w:color w:val="auto"/>
          <w:sz w:val="28"/>
          <w:szCs w:val="28"/>
          <w:highlight w:val="none"/>
          <w:vertAlign w:val="baseline"/>
          <w:lang w:val="en-US" w:eastAsia="zh-CN"/>
        </w:rPr>
        <w:t>1.</w:t>
      </w:r>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5土壤植被</w:t>
      </w:r>
    </w:p>
    <w:p>
      <w:pPr>
        <w:bidi w:val="0"/>
        <w:rPr>
          <w:rFonts w:hint="eastAsia"/>
          <w:color w:val="auto"/>
          <w:highlight w:val="none"/>
          <w:lang w:eastAsia="zh-CN"/>
        </w:rPr>
      </w:pPr>
      <w:r>
        <w:rPr>
          <w:color w:val="auto"/>
          <w:highlight w:val="none"/>
        </w:rPr>
        <w:t>项目所在区域衡阳市土壤资源丰富，有地带性土壤山地草甸土、黄棕壤、黄壤、红壤和非地带性土壤黑色石灰土、红色石灰土、紫色土、水稻土、河潮土等9个土类。20个亚类，85个土属，261个土种，11</w:t>
      </w:r>
      <w:r>
        <w:rPr>
          <w:rFonts w:hint="eastAsia"/>
          <w:color w:val="auto"/>
          <w:highlight w:val="none"/>
          <w:lang w:val="en-US" w:eastAsia="zh-CN"/>
        </w:rPr>
        <w:t>1</w:t>
      </w:r>
      <w:r>
        <w:rPr>
          <w:color w:val="auto"/>
          <w:highlight w:val="none"/>
        </w:rPr>
        <w:t>个变种。其中以红壤、紫色土、水稻土面积较大，分布甚广，利用率最高。衡阳市全市土壤地域性分布大体是红壤呈带状或斑块分布，紫色土多呈网络壮集中于盆地中部，水稻土呈树枝状展布于海拔200米以下的岗平河谷地带，河潮土呈树枝形分布于开阔地形的沿河两岸。四季红</w:t>
      </w:r>
      <w:r>
        <w:rPr>
          <w:rFonts w:hint="eastAsia"/>
          <w:color w:val="auto"/>
          <w:highlight w:val="none"/>
          <w:lang w:val="en-US" w:eastAsia="zh-CN"/>
        </w:rPr>
        <w:t>土</w:t>
      </w:r>
      <w:r>
        <w:rPr>
          <w:color w:val="auto"/>
          <w:highlight w:val="none"/>
        </w:rPr>
        <w:t>红壤则多呈馒头形的星点状覆盖于紫色砂页岩之上</w:t>
      </w:r>
      <w:r>
        <w:rPr>
          <w:rFonts w:hint="eastAsia"/>
          <w:color w:val="auto"/>
          <w:highlight w:val="none"/>
          <w:lang w:eastAsia="zh-CN"/>
        </w:rPr>
        <w:t>。</w:t>
      </w:r>
    </w:p>
    <w:p>
      <w:pPr>
        <w:bidi w:val="0"/>
        <w:rPr>
          <w:color w:val="auto"/>
          <w:highlight w:val="none"/>
        </w:rPr>
      </w:pPr>
      <w:r>
        <w:rPr>
          <w:color w:val="auto"/>
          <w:highlight w:val="none"/>
        </w:rPr>
        <w:t>本项目所在地衡阳市地处亚热带常绿阔叶林带，植被资源丰富。项目区土壤肥沃，光、热、水条件好，适宜经济作物及柑橘等果品的生长。项目区属中亚热带湘中丘陵常绿阔叶林区，由于长期的人为经营活动影响，境内的典型原生植被已不存在，现除少数山谷、低坡、村旁残留少量的常绿阔叶林外，多代逆向演替而产生的马尾松林及人工营造的杉木林、竹林、柑橘等经济林遍布全境各地。山地气候温和，是营造用材林的黄金地带。现有木本植物99科342属1047种，其中珍惜树种12种，另有优良乡土树种20科120种;草本资源丰富，共有49科170种，另有药用植物500多种，花卉240种。现有植被组成以人工针叶林为主，天然次生植被较少。主要优势树种为油茶、马尾松、湿地松、火炬松、杉木:天然次生林优势树种有樟科、壳斗科、山茶科、豆科、蔷薇科、冬青科、胡桃科、杜鹃科等树种。项目区由于自然条件各要素数量、组合方式的不同，造成植被分布分异明显。</w:t>
      </w:r>
    </w:p>
    <w:p>
      <w:pPr>
        <w:ind w:firstLine="480"/>
        <w:rPr>
          <w:rFonts w:hint="default" w:hAnsi="宋体"/>
          <w:color w:val="auto"/>
          <w:kern w:val="0"/>
          <w:szCs w:val="24"/>
          <w:highlight w:val="none"/>
          <w:lang w:val="en-US" w:eastAsia="zh-CN"/>
        </w:rPr>
      </w:pPr>
      <w:r>
        <w:rPr>
          <w:rFonts w:hint="eastAsia"/>
          <w:color w:val="auto"/>
          <w:highlight w:val="none"/>
          <w:lang w:val="en-US" w:eastAsia="zh-CN"/>
        </w:rPr>
        <w:t>项目区属于亚热带季风湿润气候区，亚热带常绿阔叶林带，区域内植被以人工林、次生植被和人工绿化林草为主。地表植被覆盖一般，地势平坦，水土流失较轻。征地范围林地植被覆盖率约为12%。</w:t>
      </w:r>
    </w:p>
    <w:p>
      <w:pPr>
        <w:pStyle w:val="2"/>
        <w:keepNext w:val="0"/>
        <w:keepLines w:val="0"/>
        <w:pageBreakBefore w:val="0"/>
        <w:widowControl w:val="0"/>
        <w:kinsoku/>
        <w:wordWrap/>
        <w:overflowPunct/>
        <w:topLinePunct w:val="0"/>
        <w:autoSpaceDE/>
        <w:autoSpaceDN/>
        <w:bidi w:val="0"/>
        <w:adjustRightInd w:val="0"/>
        <w:snapToGrid w:val="0"/>
        <w:spacing w:after="20" w:line="360" w:lineRule="auto"/>
        <w:ind w:left="0" w:leftChars="0" w:firstLine="0" w:firstLineChars="0"/>
        <w:jc w:val="left"/>
        <w:textAlignment w:val="auto"/>
        <w:outlineLvl w:val="0"/>
        <w:rPr>
          <w:rFonts w:hint="eastAsia" w:cs="Times New Roman"/>
          <w:b/>
          <w:bCs/>
          <w:color w:val="auto"/>
          <w:sz w:val="36"/>
          <w:szCs w:val="36"/>
          <w:highlight w:val="none"/>
          <w:lang w:val="en-US" w:eastAsia="zh-CN"/>
        </w:rPr>
      </w:pPr>
      <w:r>
        <w:rPr>
          <w:rFonts w:hint="default" w:ascii="Times New Roman" w:hAnsi="Times New Roman" w:cs="Times New Roman"/>
          <w:b/>
          <w:bCs/>
          <w:color w:val="auto"/>
          <w:sz w:val="36"/>
          <w:szCs w:val="36"/>
          <w:highlight w:val="none"/>
          <w:lang w:val="en-US" w:eastAsia="zh-CN"/>
        </w:rPr>
        <w:t>1.</w:t>
      </w:r>
      <w:r>
        <w:rPr>
          <w:rFonts w:hint="eastAsia" w:cs="Times New Roman"/>
          <w:b/>
          <w:bCs/>
          <w:color w:val="auto"/>
          <w:sz w:val="36"/>
          <w:szCs w:val="36"/>
          <w:highlight w:val="none"/>
          <w:lang w:val="en-US" w:eastAsia="zh-CN"/>
        </w:rPr>
        <w:t>3生产建设项目水土流失防治布局</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20" w:afterLines="0"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r>
        <w:rPr>
          <w:rFonts w:hint="eastAsia" w:ascii="Times New Roman" w:hAnsi="Times New Roman" w:cs="Times New Roman"/>
          <w:b/>
          <w:bCs/>
          <w:color w:val="auto"/>
          <w:sz w:val="28"/>
          <w:szCs w:val="28"/>
          <w:highlight w:val="none"/>
          <w:vertAlign w:val="baseline"/>
          <w:lang w:val="en-US" w:eastAsia="zh-CN"/>
        </w:rPr>
        <w:t>1.3.1水土流失防治责任范围</w:t>
      </w:r>
    </w:p>
    <w:p>
      <w:pPr>
        <w:ind w:firstLine="480"/>
        <w:rPr>
          <w:color w:val="auto"/>
          <w:szCs w:val="24"/>
          <w:highlight w:val="none"/>
        </w:rPr>
      </w:pPr>
      <w:r>
        <w:rPr>
          <w:rFonts w:hAnsi="宋体"/>
          <w:color w:val="auto"/>
          <w:szCs w:val="24"/>
          <w:highlight w:val="none"/>
        </w:rPr>
        <w:t>开发建设类项目水土流失防治责任范围包括项目建设区和直接影响区两部分。根据《开发建设项目水土保持方案技术规范》确定的内容，项目建设区包括建设类项目征用、占用、租用及管辖土地范围，直接影响区包含项目建设区以外由于项目生产活动可能造成水土流失或危害的范围。</w:t>
      </w:r>
    </w:p>
    <w:p>
      <w:pPr>
        <w:ind w:firstLine="480"/>
        <w:rPr>
          <w:color w:val="auto"/>
          <w:szCs w:val="24"/>
          <w:highlight w:val="none"/>
        </w:rPr>
      </w:pPr>
      <w:r>
        <w:rPr>
          <w:rFonts w:hAnsi="宋体"/>
          <w:color w:val="auto"/>
          <w:highlight w:val="none"/>
        </w:rPr>
        <w:t>根据《开发建设项目水土保持方案技术规范》确定的内容，项目区域内的所有征占地</w:t>
      </w:r>
      <w:r>
        <w:rPr>
          <w:rFonts w:hint="eastAsia"/>
          <w:color w:val="auto"/>
          <w:highlight w:val="none"/>
          <w:lang w:val="en-US" w:eastAsia="zh-CN"/>
        </w:rPr>
        <w:t>8.72</w:t>
      </w:r>
      <w:r>
        <w:rPr>
          <w:color w:val="auto"/>
          <w:highlight w:val="none"/>
        </w:rPr>
        <w:t>hm</w:t>
      </w:r>
      <w:r>
        <w:rPr>
          <w:color w:val="auto"/>
          <w:highlight w:val="none"/>
          <w:vertAlign w:val="superscript"/>
        </w:rPr>
        <w:t>2</w:t>
      </w:r>
      <w:r>
        <w:rPr>
          <w:rFonts w:hAnsi="宋体"/>
          <w:color w:val="auto"/>
          <w:highlight w:val="none"/>
        </w:rPr>
        <w:t>，应纳入本项目的水土保持防治责任范围。本项目</w:t>
      </w:r>
      <w:r>
        <w:rPr>
          <w:rFonts w:hint="eastAsia" w:hAnsi="宋体"/>
          <w:color w:val="auto"/>
          <w:highlight w:val="none"/>
        </w:rPr>
        <w:t>四周均建筑围墙，同时四周均是绿化带，施工所需场地小</w:t>
      </w:r>
      <w:r>
        <w:rPr>
          <w:rFonts w:hAnsi="宋体"/>
          <w:color w:val="auto"/>
          <w:highlight w:val="none"/>
        </w:rPr>
        <w:t>。由此确定本工程水土保持防治责任范围面积为</w:t>
      </w:r>
      <w:r>
        <w:rPr>
          <w:rFonts w:hint="eastAsia"/>
          <w:color w:val="auto"/>
          <w:highlight w:val="none"/>
          <w:lang w:val="en-US" w:eastAsia="zh-CN"/>
        </w:rPr>
        <w:t>8.72</w:t>
      </w:r>
      <w:r>
        <w:rPr>
          <w:color w:val="auto"/>
          <w:highlight w:val="none"/>
        </w:rPr>
        <w:t>hm</w:t>
      </w:r>
      <w:r>
        <w:rPr>
          <w:color w:val="auto"/>
          <w:highlight w:val="none"/>
          <w:vertAlign w:val="superscript"/>
        </w:rPr>
        <w:t>2</w:t>
      </w:r>
      <w:r>
        <w:rPr>
          <w:rFonts w:hAnsi="宋体"/>
          <w:color w:val="auto"/>
          <w:highlight w:val="none"/>
        </w:rPr>
        <w:t>。</w:t>
      </w:r>
    </w:p>
    <w:p>
      <w:pPr>
        <w:tabs>
          <w:tab w:val="left" w:pos="525"/>
        </w:tabs>
        <w:spacing w:line="288" w:lineRule="auto"/>
        <w:ind w:firstLine="480"/>
        <w:jc w:val="center"/>
        <w:rPr>
          <w:rFonts w:hint="default" w:hAnsi="宋体"/>
          <w:color w:val="auto"/>
          <w:kern w:val="0"/>
          <w:szCs w:val="24"/>
          <w:highlight w:val="none"/>
          <w:lang w:val="en-US" w:eastAsia="zh-CN"/>
        </w:rPr>
      </w:pPr>
      <w:r>
        <w:rPr>
          <w:rFonts w:hAnsi="宋体"/>
          <w:b/>
          <w:bCs/>
          <w:color w:val="auto"/>
          <w:highlight w:val="none"/>
        </w:rPr>
        <w:t>表</w:t>
      </w:r>
      <w:r>
        <w:rPr>
          <w:rFonts w:hint="eastAsia"/>
          <w:b/>
          <w:bCs/>
          <w:color w:val="auto"/>
          <w:highlight w:val="none"/>
          <w:lang w:val="en-US" w:eastAsia="zh-CN"/>
        </w:rPr>
        <w:t>1.3</w:t>
      </w:r>
      <w:r>
        <w:rPr>
          <w:b/>
          <w:bCs/>
          <w:color w:val="auto"/>
          <w:highlight w:val="none"/>
        </w:rPr>
        <w:t>-1</w:t>
      </w:r>
      <w:r>
        <w:rPr>
          <w:rFonts w:hAnsi="宋体"/>
          <w:b/>
          <w:bCs/>
          <w:color w:val="auto"/>
          <w:highlight w:val="none"/>
        </w:rPr>
        <w:t>　　　　　　水土流失防治责任范围表</w:t>
      </w:r>
      <w:r>
        <w:rPr>
          <w:rFonts w:hint="eastAsia" w:hAnsi="宋体"/>
          <w:b/>
          <w:bCs/>
          <w:color w:val="auto"/>
          <w:highlight w:val="none"/>
          <w:lang w:val="en-US" w:eastAsia="zh-CN"/>
        </w:rPr>
        <w:t xml:space="preserve">       </w:t>
      </w:r>
      <w:r>
        <w:rPr>
          <w:color w:val="auto"/>
          <w:highlight w:val="none"/>
        </w:rPr>
        <w:t>单位：hm</w:t>
      </w:r>
      <w:r>
        <w:rPr>
          <w:color w:val="auto"/>
          <w:highlight w:val="none"/>
          <w:vertAlign w:val="superscript"/>
        </w:rPr>
        <w:t>2</w:t>
      </w:r>
    </w:p>
    <w:tbl>
      <w:tblPr>
        <w:tblStyle w:val="21"/>
        <w:tblW w:w="4998" w:type="pct"/>
        <w:jc w:val="center"/>
        <w:tblLayout w:type="autofit"/>
        <w:tblCellMar>
          <w:top w:w="0" w:type="dxa"/>
          <w:left w:w="108" w:type="dxa"/>
          <w:bottom w:w="0" w:type="dxa"/>
          <w:right w:w="108" w:type="dxa"/>
        </w:tblCellMar>
      </w:tblPr>
      <w:tblGrid>
        <w:gridCol w:w="1066"/>
        <w:gridCol w:w="1971"/>
        <w:gridCol w:w="2046"/>
        <w:gridCol w:w="2082"/>
        <w:gridCol w:w="1354"/>
      </w:tblGrid>
      <w:tr>
        <w:tblPrEx>
          <w:tblCellMar>
            <w:top w:w="0" w:type="dxa"/>
            <w:left w:w="108" w:type="dxa"/>
            <w:bottom w:w="0" w:type="dxa"/>
            <w:right w:w="108" w:type="dxa"/>
          </w:tblCellMar>
        </w:tblPrEx>
        <w:trPr>
          <w:trHeight w:val="336" w:hRule="atLeast"/>
          <w:jc w:val="center"/>
        </w:trPr>
        <w:tc>
          <w:tcPr>
            <w:tcW w:w="62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r>
              <w:rPr>
                <w:rFonts w:ascii="Times New Roman" w:hAnsi="Times New Roman"/>
                <w:b w:val="0"/>
                <w:bCs w:val="0"/>
                <w:color w:val="auto"/>
                <w:sz w:val="21"/>
                <w:szCs w:val="21"/>
                <w:highlight w:val="none"/>
              </w:rPr>
              <w:t>序号</w:t>
            </w:r>
          </w:p>
        </w:tc>
        <w:tc>
          <w:tcPr>
            <w:tcW w:w="1156" w:type="pct"/>
            <w:tcBorders>
              <w:top w:val="single" w:color="000000" w:sz="4" w:space="0"/>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r>
              <w:rPr>
                <w:rFonts w:ascii="Times New Roman" w:hAnsi="Times New Roman"/>
                <w:b w:val="0"/>
                <w:bCs w:val="0"/>
                <w:color w:val="auto"/>
                <w:sz w:val="21"/>
                <w:szCs w:val="21"/>
                <w:highlight w:val="none"/>
              </w:rPr>
              <w:t>项目分区</w:t>
            </w:r>
          </w:p>
        </w:tc>
        <w:tc>
          <w:tcPr>
            <w:tcW w:w="1200" w:type="pct"/>
            <w:tcBorders>
              <w:top w:val="single" w:color="000000" w:sz="4" w:space="0"/>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r>
              <w:rPr>
                <w:rFonts w:ascii="Times New Roman" w:hAnsi="Times New Roman"/>
                <w:b w:val="0"/>
                <w:bCs w:val="0"/>
                <w:color w:val="auto"/>
                <w:sz w:val="21"/>
                <w:szCs w:val="21"/>
                <w:highlight w:val="none"/>
              </w:rPr>
              <w:t>项目建设区</w:t>
            </w:r>
          </w:p>
        </w:tc>
        <w:tc>
          <w:tcPr>
            <w:tcW w:w="1221" w:type="pct"/>
            <w:tcBorders>
              <w:top w:val="single" w:color="000000" w:sz="4" w:space="0"/>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直接影响区</w:t>
            </w:r>
          </w:p>
        </w:tc>
        <w:tc>
          <w:tcPr>
            <w:tcW w:w="794" w:type="pct"/>
            <w:tcBorders>
              <w:top w:val="single" w:color="000000" w:sz="4" w:space="0"/>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eastAsia" w:ascii="Times New Roman" w:hAnsi="Times New Roman"/>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合计</w:t>
            </w:r>
          </w:p>
        </w:tc>
      </w:tr>
      <w:tr>
        <w:tblPrEx>
          <w:tblCellMar>
            <w:top w:w="0" w:type="dxa"/>
            <w:left w:w="108" w:type="dxa"/>
            <w:bottom w:w="0" w:type="dxa"/>
            <w:right w:w="108" w:type="dxa"/>
          </w:tblCellMar>
        </w:tblPrEx>
        <w:trPr>
          <w:trHeight w:val="340" w:hRule="atLeast"/>
          <w:jc w:val="center"/>
        </w:trPr>
        <w:tc>
          <w:tcPr>
            <w:tcW w:w="626" w:type="pct"/>
            <w:tcBorders>
              <w:top w:val="nil"/>
              <w:left w:val="single" w:color="000000" w:sz="4" w:space="0"/>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r>
              <w:rPr>
                <w:rFonts w:ascii="Times New Roman" w:hAnsi="Times New Roman"/>
                <w:b w:val="0"/>
                <w:bCs w:val="0"/>
                <w:color w:val="auto"/>
                <w:sz w:val="21"/>
                <w:szCs w:val="21"/>
                <w:highlight w:val="none"/>
              </w:rPr>
              <w:t>1</w:t>
            </w:r>
          </w:p>
        </w:tc>
        <w:tc>
          <w:tcPr>
            <w:tcW w:w="1156"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r>
              <w:rPr>
                <w:rFonts w:hint="eastAsia" w:ascii="Times New Roman" w:hAnsi="Times New Roman"/>
                <w:b w:val="0"/>
                <w:bCs w:val="0"/>
                <w:color w:val="auto"/>
                <w:sz w:val="21"/>
                <w:szCs w:val="21"/>
                <w:highlight w:val="none"/>
                <w:lang w:val="en-US" w:eastAsia="zh-CN"/>
              </w:rPr>
              <w:t>地下停车场A</w:t>
            </w:r>
            <w:r>
              <w:rPr>
                <w:rFonts w:hint="eastAsia" w:ascii="Times New Roman" w:hAnsi="Times New Roman"/>
                <w:b w:val="0"/>
                <w:bCs w:val="0"/>
                <w:color w:val="auto"/>
                <w:sz w:val="21"/>
                <w:szCs w:val="21"/>
                <w:highlight w:val="none"/>
              </w:rPr>
              <w:t>区</w:t>
            </w:r>
          </w:p>
        </w:tc>
        <w:tc>
          <w:tcPr>
            <w:tcW w:w="1200"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1.45</w:t>
            </w:r>
          </w:p>
        </w:tc>
        <w:tc>
          <w:tcPr>
            <w:tcW w:w="1221"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0.14</w:t>
            </w:r>
          </w:p>
        </w:tc>
        <w:tc>
          <w:tcPr>
            <w:tcW w:w="794"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1.59</w:t>
            </w:r>
          </w:p>
        </w:tc>
      </w:tr>
      <w:tr>
        <w:tblPrEx>
          <w:tblCellMar>
            <w:top w:w="0" w:type="dxa"/>
            <w:left w:w="108" w:type="dxa"/>
            <w:bottom w:w="0" w:type="dxa"/>
            <w:right w:w="108" w:type="dxa"/>
          </w:tblCellMar>
        </w:tblPrEx>
        <w:trPr>
          <w:trHeight w:val="340" w:hRule="atLeast"/>
          <w:jc w:val="center"/>
        </w:trPr>
        <w:tc>
          <w:tcPr>
            <w:tcW w:w="626" w:type="pct"/>
            <w:tcBorders>
              <w:top w:val="nil"/>
              <w:left w:val="single" w:color="000000" w:sz="4" w:space="0"/>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r>
              <w:rPr>
                <w:rFonts w:ascii="Times New Roman" w:hAnsi="Times New Roman"/>
                <w:b w:val="0"/>
                <w:bCs w:val="0"/>
                <w:color w:val="auto"/>
                <w:sz w:val="21"/>
                <w:szCs w:val="21"/>
                <w:highlight w:val="none"/>
              </w:rPr>
              <w:t>2</w:t>
            </w:r>
          </w:p>
        </w:tc>
        <w:tc>
          <w:tcPr>
            <w:tcW w:w="1156"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r>
              <w:rPr>
                <w:rFonts w:hint="eastAsia" w:ascii="Times New Roman" w:hAnsi="Times New Roman"/>
                <w:b w:val="0"/>
                <w:bCs w:val="0"/>
                <w:color w:val="auto"/>
                <w:sz w:val="21"/>
                <w:szCs w:val="21"/>
                <w:highlight w:val="none"/>
                <w:lang w:val="en-US" w:eastAsia="zh-CN"/>
              </w:rPr>
              <w:t>地下停车场B</w:t>
            </w:r>
            <w:r>
              <w:rPr>
                <w:rFonts w:hint="eastAsia" w:ascii="Times New Roman" w:hAnsi="Times New Roman"/>
                <w:b w:val="0"/>
                <w:bCs w:val="0"/>
                <w:color w:val="auto"/>
                <w:sz w:val="21"/>
                <w:szCs w:val="21"/>
                <w:highlight w:val="none"/>
              </w:rPr>
              <w:t>区</w:t>
            </w:r>
          </w:p>
        </w:tc>
        <w:tc>
          <w:tcPr>
            <w:tcW w:w="1200"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1.07</w:t>
            </w:r>
          </w:p>
        </w:tc>
        <w:tc>
          <w:tcPr>
            <w:tcW w:w="1221"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0.10</w:t>
            </w:r>
          </w:p>
        </w:tc>
        <w:tc>
          <w:tcPr>
            <w:tcW w:w="794"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1.17</w:t>
            </w:r>
          </w:p>
        </w:tc>
      </w:tr>
      <w:tr>
        <w:tblPrEx>
          <w:tblCellMar>
            <w:top w:w="0" w:type="dxa"/>
            <w:left w:w="108" w:type="dxa"/>
            <w:bottom w:w="0" w:type="dxa"/>
            <w:right w:w="108" w:type="dxa"/>
          </w:tblCellMar>
        </w:tblPrEx>
        <w:trPr>
          <w:trHeight w:val="340" w:hRule="atLeast"/>
          <w:jc w:val="center"/>
        </w:trPr>
        <w:tc>
          <w:tcPr>
            <w:tcW w:w="626" w:type="pct"/>
            <w:tcBorders>
              <w:top w:val="nil"/>
              <w:left w:val="single" w:color="000000" w:sz="4" w:space="0"/>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r>
              <w:rPr>
                <w:rFonts w:ascii="Times New Roman" w:hAnsi="Times New Roman"/>
                <w:b w:val="0"/>
                <w:bCs w:val="0"/>
                <w:color w:val="auto"/>
                <w:sz w:val="21"/>
                <w:szCs w:val="21"/>
                <w:highlight w:val="none"/>
              </w:rPr>
              <w:t>3</w:t>
            </w:r>
          </w:p>
        </w:tc>
        <w:tc>
          <w:tcPr>
            <w:tcW w:w="1156"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r>
              <w:rPr>
                <w:rFonts w:hint="eastAsia" w:ascii="Times New Roman" w:hAnsi="Times New Roman"/>
                <w:b w:val="0"/>
                <w:bCs w:val="0"/>
                <w:color w:val="auto"/>
                <w:sz w:val="21"/>
                <w:szCs w:val="21"/>
                <w:highlight w:val="none"/>
                <w:lang w:val="en-US" w:eastAsia="zh-CN"/>
              </w:rPr>
              <w:t>地下停车场C</w:t>
            </w:r>
            <w:r>
              <w:rPr>
                <w:rFonts w:hint="eastAsia" w:ascii="Times New Roman" w:hAnsi="Times New Roman"/>
                <w:b w:val="0"/>
                <w:bCs w:val="0"/>
                <w:color w:val="auto"/>
                <w:sz w:val="21"/>
                <w:szCs w:val="21"/>
                <w:highlight w:val="none"/>
              </w:rPr>
              <w:t>区</w:t>
            </w:r>
          </w:p>
        </w:tc>
        <w:tc>
          <w:tcPr>
            <w:tcW w:w="1200"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2.32</w:t>
            </w:r>
          </w:p>
        </w:tc>
        <w:tc>
          <w:tcPr>
            <w:tcW w:w="1221"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0.16</w:t>
            </w:r>
          </w:p>
        </w:tc>
        <w:tc>
          <w:tcPr>
            <w:tcW w:w="794"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2.48</w:t>
            </w:r>
          </w:p>
        </w:tc>
      </w:tr>
      <w:tr>
        <w:tblPrEx>
          <w:tblCellMar>
            <w:top w:w="0" w:type="dxa"/>
            <w:left w:w="108" w:type="dxa"/>
            <w:bottom w:w="0" w:type="dxa"/>
            <w:right w:w="108" w:type="dxa"/>
          </w:tblCellMar>
        </w:tblPrEx>
        <w:trPr>
          <w:trHeight w:val="340" w:hRule="atLeast"/>
          <w:jc w:val="center"/>
        </w:trPr>
        <w:tc>
          <w:tcPr>
            <w:tcW w:w="626" w:type="pct"/>
            <w:tcBorders>
              <w:top w:val="nil"/>
              <w:left w:val="single" w:color="000000" w:sz="4" w:space="0"/>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r>
              <w:rPr>
                <w:rFonts w:ascii="Times New Roman" w:hAnsi="Times New Roman"/>
                <w:b w:val="0"/>
                <w:bCs w:val="0"/>
                <w:color w:val="auto"/>
                <w:sz w:val="21"/>
                <w:szCs w:val="21"/>
                <w:highlight w:val="none"/>
              </w:rPr>
              <w:t>4</w:t>
            </w:r>
          </w:p>
        </w:tc>
        <w:tc>
          <w:tcPr>
            <w:tcW w:w="1156"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r>
              <w:rPr>
                <w:rFonts w:hint="eastAsia" w:ascii="Times New Roman" w:hAnsi="Times New Roman"/>
                <w:b w:val="0"/>
                <w:bCs w:val="0"/>
                <w:color w:val="auto"/>
                <w:sz w:val="21"/>
                <w:szCs w:val="21"/>
                <w:highlight w:val="none"/>
                <w:lang w:val="en-US" w:eastAsia="zh-CN"/>
              </w:rPr>
              <w:t>临时堆土</w:t>
            </w:r>
            <w:r>
              <w:rPr>
                <w:rFonts w:hint="eastAsia" w:ascii="Times New Roman" w:hAnsi="Times New Roman"/>
                <w:b w:val="0"/>
                <w:bCs w:val="0"/>
                <w:color w:val="auto"/>
                <w:sz w:val="21"/>
                <w:szCs w:val="21"/>
                <w:highlight w:val="none"/>
              </w:rPr>
              <w:t>区</w:t>
            </w:r>
          </w:p>
        </w:tc>
        <w:tc>
          <w:tcPr>
            <w:tcW w:w="1200"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3.25</w:t>
            </w:r>
          </w:p>
        </w:tc>
        <w:tc>
          <w:tcPr>
            <w:tcW w:w="1221"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p>
        </w:tc>
        <w:tc>
          <w:tcPr>
            <w:tcW w:w="794"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ascii="Times New Roman" w:hAnsi="Times New Roman"/>
                <w:b w:val="0"/>
                <w:bCs w:val="0"/>
                <w:color w:val="auto"/>
                <w:sz w:val="21"/>
                <w:szCs w:val="21"/>
                <w:highlight w:val="none"/>
              </w:rPr>
            </w:pPr>
          </w:p>
        </w:tc>
      </w:tr>
      <w:tr>
        <w:tblPrEx>
          <w:tblCellMar>
            <w:top w:w="0" w:type="dxa"/>
            <w:left w:w="108" w:type="dxa"/>
            <w:bottom w:w="0" w:type="dxa"/>
            <w:right w:w="108" w:type="dxa"/>
          </w:tblCellMar>
        </w:tblPrEx>
        <w:trPr>
          <w:trHeight w:val="340" w:hRule="atLeast"/>
          <w:jc w:val="center"/>
        </w:trPr>
        <w:tc>
          <w:tcPr>
            <w:tcW w:w="626" w:type="pct"/>
            <w:tcBorders>
              <w:top w:val="nil"/>
              <w:left w:val="single" w:color="000000" w:sz="4" w:space="0"/>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eastAsia" w:ascii="Times New Roman" w:hAnsi="Times New Roman"/>
                <w:b w:val="0"/>
                <w:bCs w:val="0"/>
                <w:color w:val="auto"/>
                <w:sz w:val="21"/>
                <w:szCs w:val="21"/>
                <w:highlight w:val="none"/>
              </w:rPr>
            </w:pPr>
          </w:p>
        </w:tc>
        <w:tc>
          <w:tcPr>
            <w:tcW w:w="1156"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eastAsia"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合计</w:t>
            </w:r>
          </w:p>
        </w:tc>
        <w:tc>
          <w:tcPr>
            <w:tcW w:w="1200"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8.09</w:t>
            </w:r>
          </w:p>
        </w:tc>
        <w:tc>
          <w:tcPr>
            <w:tcW w:w="1221"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0.40</w:t>
            </w:r>
          </w:p>
        </w:tc>
        <w:tc>
          <w:tcPr>
            <w:tcW w:w="794" w:type="pct"/>
            <w:tcBorders>
              <w:top w:val="nil"/>
              <w:left w:val="nil"/>
              <w:bottom w:val="single" w:color="000000" w:sz="4" w:space="0"/>
              <w:right w:val="single" w:color="000000" w:sz="4" w:space="0"/>
            </w:tcBorders>
            <w:shd w:val="clear" w:color="auto" w:fill="auto"/>
            <w:noWrap w:val="0"/>
            <w:vAlign w:val="center"/>
          </w:tcPr>
          <w:p>
            <w:pPr>
              <w:spacing w:line="240" w:lineRule="auto"/>
              <w:ind w:left="0" w:leftChars="0" w:firstLine="0" w:firstLineChars="0"/>
              <w:jc w:val="center"/>
              <w:rPr>
                <w:rFonts w:hint="default" w:ascii="Times New Roman" w:hAnsi="Times New Roman" w:eastAsia="仿宋_GB2312"/>
                <w:b w:val="0"/>
                <w:bCs w:val="0"/>
                <w:color w:val="auto"/>
                <w:sz w:val="21"/>
                <w:szCs w:val="21"/>
                <w:highlight w:val="none"/>
                <w:lang w:val="en-US" w:eastAsia="zh-CN"/>
              </w:rPr>
            </w:pPr>
            <w:r>
              <w:rPr>
                <w:rFonts w:hint="eastAsia" w:ascii="Times New Roman" w:hAnsi="Times New Roman"/>
                <w:b w:val="0"/>
                <w:bCs w:val="0"/>
                <w:color w:val="auto"/>
                <w:sz w:val="21"/>
                <w:szCs w:val="21"/>
                <w:highlight w:val="none"/>
                <w:lang w:val="en-US" w:eastAsia="zh-CN"/>
              </w:rPr>
              <w:t>8.49</w:t>
            </w:r>
          </w:p>
        </w:tc>
      </w:tr>
    </w:tbl>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after="10" w:afterLines="0" w:line="360" w:lineRule="auto"/>
        <w:jc w:val="left"/>
        <w:textAlignment w:val="auto"/>
        <w:outlineLvl w:val="1"/>
        <w:rPr>
          <w:rFonts w:hint="default" w:cs="Times New Roman"/>
          <w:b/>
          <w:bCs/>
          <w:color w:val="auto"/>
          <w:sz w:val="28"/>
          <w:szCs w:val="28"/>
          <w:highlight w:val="none"/>
          <w:vertAlign w:val="baseline"/>
          <w:lang w:val="en-US" w:eastAsia="zh-CN"/>
        </w:rPr>
      </w:pPr>
      <w:r>
        <w:rPr>
          <w:rFonts w:hint="default" w:ascii="Times New Roman" w:hAnsi="Times New Roman" w:cs="Times New Roman"/>
          <w:b/>
          <w:bCs/>
          <w:color w:val="auto"/>
          <w:sz w:val="28"/>
          <w:szCs w:val="28"/>
          <w:highlight w:val="none"/>
          <w:vertAlign w:val="baseline"/>
          <w:lang w:val="en-US" w:eastAsia="zh-CN"/>
        </w:rPr>
        <w:t>1.</w:t>
      </w:r>
      <w:r>
        <w:rPr>
          <w:rFonts w:hint="eastAsia" w:cs="Times New Roman"/>
          <w:b/>
          <w:bCs/>
          <w:color w:val="auto"/>
          <w:sz w:val="28"/>
          <w:szCs w:val="28"/>
          <w:highlight w:val="none"/>
          <w:vertAlign w:val="baseline"/>
          <w:lang w:val="en-US" w:eastAsia="zh-CN"/>
        </w:rPr>
        <w:t>3</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2方案防治目标</w:t>
      </w:r>
    </w:p>
    <w:p>
      <w:pPr>
        <w:rPr>
          <w:rFonts w:hint="default" w:ascii="Times New Roman" w:hAnsi="Times New Roman" w:eastAsia="宋体"/>
          <w:b/>
          <w:color w:val="auto"/>
          <w:szCs w:val="28"/>
          <w:highlight w:val="none"/>
          <w:lang w:val="en-US"/>
        </w:rPr>
      </w:pPr>
      <w:r>
        <w:rPr>
          <w:rFonts w:hint="eastAsia" w:ascii="Times New Roman" w:hAnsi="Times New Roman" w:eastAsia="宋体" w:cs="Times New Roman"/>
          <w:b/>
          <w:color w:val="auto"/>
          <w:kern w:val="0"/>
          <w:sz w:val="24"/>
          <w:highlight w:val="none"/>
          <w:lang w:val="en-US" w:eastAsia="zh-CN" w:bidi="ar-SA"/>
        </w:rPr>
        <w:t>1.3.2.1执行标准等级及目标</w:t>
      </w:r>
    </w:p>
    <w:p>
      <w:pPr>
        <w:ind w:firstLine="480"/>
        <w:rPr>
          <w:color w:val="auto"/>
          <w:highlight w:val="none"/>
        </w:rPr>
      </w:pPr>
      <w:r>
        <w:rPr>
          <w:rFonts w:hAnsi="宋体"/>
          <w:color w:val="auto"/>
          <w:highlight w:val="none"/>
        </w:rPr>
        <w:t>根据湖南省人民政府《关于划分水土流失重点防治区的公告》（湘政函</w:t>
      </w:r>
      <w:r>
        <w:rPr>
          <w:color w:val="auto"/>
          <w:highlight w:val="none"/>
        </w:rPr>
        <w:t>[1999]115</w:t>
      </w:r>
      <w:r>
        <w:rPr>
          <w:rFonts w:hAnsi="宋体"/>
          <w:color w:val="auto"/>
          <w:highlight w:val="none"/>
        </w:rPr>
        <w:t>号）中，本项目区域属于湘中红壤丘陵重点治理区；在国家级水土流失重点防治分区中，项目区域所在的衡阳市区属于国家级湘资沅澧中游治理区，依据《开发建设项目水土流失防治标准》（</w:t>
      </w:r>
      <w:r>
        <w:rPr>
          <w:color w:val="auto"/>
          <w:highlight w:val="none"/>
        </w:rPr>
        <w:t>GB 50434-2008</w:t>
      </w:r>
      <w:r>
        <w:rPr>
          <w:rFonts w:hAnsi="宋体"/>
          <w:color w:val="auto"/>
          <w:highlight w:val="none"/>
        </w:rPr>
        <w:t>），确定本项目执行建设类水土流失防治一级标准。根据项目区的降雨、水土流失现状和地形地貌进行修正，最终防治目标见下表。</w:t>
      </w:r>
    </w:p>
    <w:p>
      <w:pPr>
        <w:pStyle w:val="36"/>
        <w:spacing w:line="360" w:lineRule="auto"/>
        <w:jc w:val="center"/>
        <w:rPr>
          <w:rFonts w:eastAsia="宋体"/>
          <w:b/>
          <w:bCs/>
          <w:color w:val="auto"/>
          <w:highlight w:val="none"/>
        </w:rPr>
      </w:pPr>
      <w:r>
        <w:rPr>
          <w:rFonts w:hAnsi="宋体" w:eastAsia="宋体"/>
          <w:b/>
          <w:bCs/>
          <w:color w:val="auto"/>
          <w:sz w:val="24"/>
          <w:highlight w:val="none"/>
        </w:rPr>
        <w:t>表</w:t>
      </w:r>
      <w:r>
        <w:rPr>
          <w:rFonts w:hint="eastAsia" w:hAnsi="宋体" w:eastAsia="宋体"/>
          <w:b/>
          <w:bCs/>
          <w:color w:val="auto"/>
          <w:sz w:val="24"/>
          <w:highlight w:val="none"/>
          <w:lang w:val="en-US" w:eastAsia="zh-CN"/>
        </w:rPr>
        <w:t>1.3</w:t>
      </w:r>
      <w:r>
        <w:rPr>
          <w:rFonts w:hAnsi="宋体" w:eastAsia="宋体"/>
          <w:b/>
          <w:bCs/>
          <w:color w:val="auto"/>
          <w:sz w:val="24"/>
          <w:highlight w:val="none"/>
        </w:rPr>
        <w:t>-</w:t>
      </w:r>
      <w:r>
        <w:rPr>
          <w:rFonts w:hint="eastAsia" w:hAnsi="宋体" w:eastAsia="宋体"/>
          <w:b/>
          <w:bCs/>
          <w:color w:val="auto"/>
          <w:sz w:val="24"/>
          <w:highlight w:val="none"/>
          <w:lang w:val="en-US" w:eastAsia="zh-CN"/>
        </w:rPr>
        <w:t>2</w:t>
      </w:r>
      <w:r>
        <w:rPr>
          <w:rFonts w:hAnsi="宋体" w:eastAsia="宋体"/>
          <w:b/>
          <w:bCs/>
          <w:color w:val="auto"/>
          <w:sz w:val="24"/>
          <w:highlight w:val="none"/>
        </w:rPr>
        <w:t>　</w:t>
      </w:r>
      <w:r>
        <w:rPr>
          <w:rFonts w:hAnsi="宋体" w:eastAsia="宋体"/>
          <w:b/>
          <w:bCs/>
          <w:color w:val="auto"/>
          <w:highlight w:val="none"/>
        </w:rPr>
        <w:t>　　　　　　　</w:t>
      </w:r>
      <w:r>
        <w:rPr>
          <w:rFonts w:hAnsi="宋体" w:eastAsia="宋体"/>
          <w:b/>
          <w:bCs/>
          <w:color w:val="auto"/>
          <w:sz w:val="24"/>
          <w:highlight w:val="none"/>
        </w:rPr>
        <w:t>水土流失防治目标表</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1"/>
        <w:gridCol w:w="1189"/>
        <w:gridCol w:w="1112"/>
        <w:gridCol w:w="1700"/>
        <w:gridCol w:w="999"/>
        <w:gridCol w:w="1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73" w:type="pct"/>
            <w:vAlign w:val="center"/>
          </w:tcPr>
          <w:p>
            <w:pPr>
              <w:pStyle w:val="37"/>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防治指标</w:t>
            </w:r>
          </w:p>
        </w:tc>
        <w:tc>
          <w:tcPr>
            <w:tcW w:w="697" w:type="pct"/>
            <w:vAlign w:val="center"/>
          </w:tcPr>
          <w:p>
            <w:pPr>
              <w:pStyle w:val="37"/>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一级防治</w:t>
            </w:r>
          </w:p>
          <w:p>
            <w:pPr>
              <w:pStyle w:val="37"/>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标准</w:t>
            </w:r>
          </w:p>
        </w:tc>
        <w:tc>
          <w:tcPr>
            <w:tcW w:w="652" w:type="pct"/>
            <w:vAlign w:val="center"/>
          </w:tcPr>
          <w:p>
            <w:pPr>
              <w:pStyle w:val="37"/>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按降水量(800mm)</w:t>
            </w:r>
          </w:p>
          <w:p>
            <w:pPr>
              <w:pStyle w:val="37"/>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修整</w:t>
            </w:r>
          </w:p>
        </w:tc>
        <w:tc>
          <w:tcPr>
            <w:tcW w:w="997" w:type="pct"/>
            <w:vAlign w:val="center"/>
          </w:tcPr>
          <w:p>
            <w:pPr>
              <w:pStyle w:val="37"/>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按轻微度土壤侵蚀修整</w:t>
            </w:r>
          </w:p>
        </w:tc>
        <w:tc>
          <w:tcPr>
            <w:tcW w:w="586" w:type="pct"/>
            <w:vAlign w:val="center"/>
          </w:tcPr>
          <w:p>
            <w:pPr>
              <w:pStyle w:val="37"/>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按地形</w:t>
            </w:r>
          </w:p>
          <w:p>
            <w:pPr>
              <w:pStyle w:val="37"/>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修整</w:t>
            </w:r>
          </w:p>
        </w:tc>
        <w:tc>
          <w:tcPr>
            <w:tcW w:w="691" w:type="pct"/>
            <w:vAlign w:val="center"/>
          </w:tcPr>
          <w:p>
            <w:pPr>
              <w:pStyle w:val="37"/>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采用防治</w:t>
            </w:r>
          </w:p>
          <w:p>
            <w:pPr>
              <w:pStyle w:val="37"/>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73"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扰动土地整治率(%)</w:t>
            </w:r>
          </w:p>
        </w:tc>
        <w:tc>
          <w:tcPr>
            <w:tcW w:w="6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95</w:t>
            </w:r>
          </w:p>
        </w:tc>
        <w:tc>
          <w:tcPr>
            <w:tcW w:w="652"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9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586"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691"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73"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水土流失总治理度(%)</w:t>
            </w:r>
          </w:p>
        </w:tc>
        <w:tc>
          <w:tcPr>
            <w:tcW w:w="6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95</w:t>
            </w:r>
          </w:p>
        </w:tc>
        <w:tc>
          <w:tcPr>
            <w:tcW w:w="652"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&gt;2</w:t>
            </w:r>
          </w:p>
        </w:tc>
        <w:tc>
          <w:tcPr>
            <w:tcW w:w="9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586"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691"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73"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土壤流失控制比</w:t>
            </w:r>
          </w:p>
        </w:tc>
        <w:tc>
          <w:tcPr>
            <w:tcW w:w="6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0.8</w:t>
            </w:r>
          </w:p>
        </w:tc>
        <w:tc>
          <w:tcPr>
            <w:tcW w:w="652"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9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&gt;1</w:t>
            </w:r>
          </w:p>
        </w:tc>
        <w:tc>
          <w:tcPr>
            <w:tcW w:w="586"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691"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73"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拦渣率(%)</w:t>
            </w:r>
          </w:p>
        </w:tc>
        <w:tc>
          <w:tcPr>
            <w:tcW w:w="6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95</w:t>
            </w:r>
          </w:p>
        </w:tc>
        <w:tc>
          <w:tcPr>
            <w:tcW w:w="652"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9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586"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691"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73"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林草植被恢复率(%)</w:t>
            </w:r>
          </w:p>
        </w:tc>
        <w:tc>
          <w:tcPr>
            <w:tcW w:w="6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97</w:t>
            </w:r>
          </w:p>
        </w:tc>
        <w:tc>
          <w:tcPr>
            <w:tcW w:w="652"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&gt;2</w:t>
            </w:r>
          </w:p>
        </w:tc>
        <w:tc>
          <w:tcPr>
            <w:tcW w:w="9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586"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691"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9</w:t>
            </w:r>
            <w:r>
              <w:rPr>
                <w:rFonts w:hint="eastAsia" w:ascii="仿宋" w:hAnsi="仿宋" w:eastAsia="仿宋" w:cs="仿宋"/>
                <w:color w:val="auto"/>
                <w:sz w:val="21"/>
                <w:szCs w:val="21"/>
                <w:highlight w:val="no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73"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林草植被覆盖率(%)</w:t>
            </w:r>
          </w:p>
        </w:tc>
        <w:tc>
          <w:tcPr>
            <w:tcW w:w="6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25</w:t>
            </w:r>
          </w:p>
        </w:tc>
        <w:tc>
          <w:tcPr>
            <w:tcW w:w="652"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&gt;2</w:t>
            </w:r>
          </w:p>
        </w:tc>
        <w:tc>
          <w:tcPr>
            <w:tcW w:w="997"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586"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691" w:type="pct"/>
            <w:vAlign w:val="center"/>
          </w:tcPr>
          <w:p>
            <w:pPr>
              <w:pStyle w:val="38"/>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2</w:t>
            </w:r>
            <w:r>
              <w:rPr>
                <w:rFonts w:hint="eastAsia" w:ascii="仿宋" w:hAnsi="仿宋" w:eastAsia="仿宋" w:cs="仿宋"/>
                <w:color w:val="auto"/>
                <w:sz w:val="21"/>
                <w:szCs w:val="21"/>
                <w:highlight w:val="none"/>
                <w:lang w:val="en-US" w:eastAsia="zh-CN"/>
              </w:rPr>
              <w:t>8</w:t>
            </w:r>
          </w:p>
        </w:tc>
      </w:tr>
    </w:tbl>
    <w:p>
      <w:pPr>
        <w:pStyle w:val="5"/>
        <w:bidi w:val="0"/>
        <w:rPr>
          <w:rFonts w:hint="default"/>
          <w:color w:val="auto"/>
          <w:highlight w:val="none"/>
          <w:lang w:val="en-US" w:eastAsia="zh-CN"/>
        </w:rPr>
      </w:pPr>
      <w:r>
        <w:rPr>
          <w:rFonts w:hint="default"/>
          <w:color w:val="auto"/>
          <w:highlight w:val="none"/>
          <w:lang w:val="en-US" w:eastAsia="zh-CN"/>
        </w:rPr>
        <w:t>1.</w:t>
      </w:r>
      <w:r>
        <w:rPr>
          <w:rFonts w:hint="eastAsia"/>
          <w:color w:val="auto"/>
          <w:highlight w:val="none"/>
          <w:lang w:val="en-US" w:eastAsia="zh-CN"/>
        </w:rPr>
        <w:t>3</w:t>
      </w:r>
      <w:r>
        <w:rPr>
          <w:rFonts w:hint="default"/>
          <w:color w:val="auto"/>
          <w:highlight w:val="none"/>
          <w:lang w:val="en-US" w:eastAsia="zh-CN"/>
        </w:rPr>
        <w:t>.</w:t>
      </w:r>
      <w:r>
        <w:rPr>
          <w:rFonts w:hint="eastAsia"/>
          <w:color w:val="auto"/>
          <w:highlight w:val="none"/>
          <w:lang w:val="en-US" w:eastAsia="zh-CN"/>
        </w:rPr>
        <w:t>3水土流失防治措施布局</w:t>
      </w:r>
    </w:p>
    <w:p>
      <w:pPr>
        <w:ind w:firstLine="480"/>
        <w:rPr>
          <w:color w:val="auto"/>
          <w:highlight w:val="none"/>
        </w:rPr>
      </w:pPr>
      <w:r>
        <w:rPr>
          <w:rFonts w:hAnsi="宋体"/>
          <w:color w:val="auto"/>
          <w:highlight w:val="none"/>
        </w:rPr>
        <w:t>水土保持防治措施的指导思想为：工程措施和植物措施有机结合，充分发挥工程措施的控制性和时效性，保证在短时期内遏制或减少水土流失，再利用土地整治和林草措施蓄水保土，实现水土流失的彻底防治。</w:t>
      </w:r>
    </w:p>
    <w:p>
      <w:pPr>
        <w:ind w:firstLine="480"/>
        <w:rPr>
          <w:color w:val="auto"/>
          <w:highlight w:val="none"/>
        </w:rPr>
      </w:pPr>
      <w:r>
        <w:rPr>
          <w:rFonts w:hAnsi="宋体"/>
          <w:color w:val="auto"/>
          <w:highlight w:val="none"/>
        </w:rPr>
        <w:t>本项目建设面积较大，影响面较广，如果扰动区域不采取有效的水土保持防治措施，将会造成严重的水土流失。本报告的第七章对该项目可能造成的水土流失进行了预测和分析，项目水土流失集中于施工准备期和建设期，土建工程在施工过程中，开挖扰动地表，改变了原地形地貌，破坏了地表植被，以及表土及其他固体物的临时堆置，受降水和大风的影响，直接形成地表剥蚀、扬尘飞沙和侵蚀冲沟，并使地层原有结构被破坏，植被退化，加剧了水土流失。在运行期，各区水土流失进入相对稳定时期，由于植物措施效应的滞后性，仍会有少量的水土流失。</w:t>
      </w:r>
    </w:p>
    <w:p>
      <w:pPr>
        <w:ind w:firstLine="480"/>
        <w:rPr>
          <w:color w:val="auto"/>
          <w:highlight w:val="none"/>
        </w:rPr>
      </w:pPr>
      <w:r>
        <w:rPr>
          <w:rFonts w:hAnsi="宋体"/>
          <w:color w:val="auto"/>
          <w:highlight w:val="none"/>
        </w:rPr>
        <w:t>本项目主体工程设有雨污水分流排水沉沙系统和护坡设施，绿化措施布局合理，这些措施都是主体工程已有的水土保持措施。项目四周布设的围墙、建设的道路和广场地面硬化等都具有一定的水土保持功能。主体工程的永久水土保持措施基本能满足水土保持的防护要求，但项目区临时防护措施缺乏，防治措施布局时应相应增加临时防护措施。</w:t>
      </w:r>
    </w:p>
    <w:p>
      <w:pPr>
        <w:spacing w:line="360" w:lineRule="auto"/>
        <w:ind w:firstLine="480"/>
        <w:rPr>
          <w:color w:val="auto"/>
          <w:highlight w:val="none"/>
        </w:rPr>
      </w:pPr>
      <w:r>
        <w:rPr>
          <w:color w:val="auto"/>
          <w:highlight w:val="none"/>
        </w:rPr>
        <w:t>根据不同防治分区水土流失特点和各自地形地貌、地质</w:t>
      </w:r>
      <w:r>
        <w:rPr>
          <w:rFonts w:hint="eastAsia"/>
          <w:color w:val="auto"/>
          <w:highlight w:val="none"/>
        </w:rPr>
        <w:t>和</w:t>
      </w:r>
      <w:r>
        <w:rPr>
          <w:color w:val="auto"/>
          <w:highlight w:val="none"/>
        </w:rPr>
        <w:t>土质等特点进行防治，提出具体对策和措施。</w:t>
      </w:r>
    </w:p>
    <w:p>
      <w:pPr>
        <w:spacing w:line="360" w:lineRule="auto"/>
        <w:ind w:firstLine="480"/>
        <w:rPr>
          <w:color w:val="auto"/>
          <w:highlight w:val="none"/>
        </w:rPr>
      </w:pPr>
      <w:r>
        <w:rPr>
          <w:color w:val="auto"/>
          <w:highlight w:val="none"/>
        </w:rPr>
        <w:t>本项目主体工程设置雨污水分流排水系统，绿化美化工程等，这些工程都是主体工程已有的水土保持措施，但主体工程还需增加以下措施：</w:t>
      </w:r>
    </w:p>
    <w:p>
      <w:pPr>
        <w:spacing w:line="360" w:lineRule="auto"/>
        <w:ind w:firstLine="480"/>
        <w:rPr>
          <w:color w:val="auto"/>
          <w:highlight w:val="none"/>
        </w:rPr>
      </w:pPr>
      <w:r>
        <w:rPr>
          <w:color w:val="auto"/>
          <w:highlight w:val="none"/>
        </w:rPr>
        <w:t>1、增加本项目开挖施工过程中的临时性水土保持措施。临时堆土堆料应采取临时覆盖措施，减少地表裸露时间，防止临时堆置土石料及表土随地表径流排入市政排水管网。</w:t>
      </w:r>
    </w:p>
    <w:p>
      <w:pPr>
        <w:spacing w:line="360" w:lineRule="auto"/>
        <w:ind w:firstLine="480"/>
        <w:rPr>
          <w:color w:val="auto"/>
          <w:highlight w:val="none"/>
        </w:rPr>
      </w:pPr>
      <w:r>
        <w:rPr>
          <w:color w:val="auto"/>
          <w:highlight w:val="none"/>
        </w:rPr>
        <w:t>2、在项目永久雨污</w:t>
      </w:r>
      <w:r>
        <w:rPr>
          <w:rFonts w:hint="eastAsia"/>
          <w:color w:val="auto"/>
          <w:highlight w:val="none"/>
        </w:rPr>
        <w:t>水</w:t>
      </w:r>
      <w:r>
        <w:rPr>
          <w:color w:val="auto"/>
          <w:highlight w:val="none"/>
        </w:rPr>
        <w:t>排水系统未修建前，应在项目四周及项目区内修建临时排水系统，以防止项目区内雨水挟带泥沙直接冲刷项目周边的自然排水设施，并淤塞市政排水系统，同时可防止区外雨水对项目建设区裸露面和冲刷。临时排水系统进行市政排水系统的入口，与永久排水系统的入口一致，并在排水口处布置浆砌石沉沙措施。</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0" w:firstLineChars="0"/>
        <w:jc w:val="left"/>
        <w:textAlignment w:val="auto"/>
        <w:rPr>
          <w:rFonts w:hAnsi="宋体"/>
          <w:color w:val="auto"/>
          <w:highlight w:val="none"/>
        </w:rPr>
      </w:pPr>
      <w:r>
        <w:rPr>
          <w:color w:val="auto"/>
          <w:highlight w:val="none"/>
        </w:rPr>
        <w:t>通过上述措施的实施，项目区将形成立体的综合防治体系，达到保护地表，改善生态环境，防治水土流失的目的，实现水土流失由被动控制到综合开发治理的转变。项目区水土流失防治措施体系详见图</w:t>
      </w:r>
      <w:r>
        <w:rPr>
          <w:rFonts w:hint="eastAsia"/>
          <w:color w:val="auto"/>
          <w:highlight w:val="none"/>
          <w:lang w:val="en-US" w:eastAsia="zh-CN"/>
        </w:rPr>
        <w:t>1</w:t>
      </w:r>
      <w:r>
        <w:rPr>
          <w:color w:val="auto"/>
          <w:highlight w:val="none"/>
        </w:rPr>
        <w:t>.3-1。</w:t>
      </w:r>
    </w:p>
    <w:p>
      <w:pPr>
        <w:bidi w:val="0"/>
        <w:ind w:left="0" w:leftChars="0" w:firstLine="0" w:firstLineChars="0"/>
        <w:jc w:val="left"/>
        <w:rPr>
          <w:rFonts w:hint="default"/>
          <w:color w:val="auto"/>
          <w:highlight w:val="none"/>
          <w:lang w:val="en-US" w:eastAsia="zh-CN"/>
        </w:rPr>
        <w:sectPr>
          <w:footerReference r:id="rId6" w:type="default"/>
          <w:pgSz w:w="11906" w:h="16838"/>
          <w:pgMar w:top="1440" w:right="1800" w:bottom="1440" w:left="1800" w:header="851" w:footer="992" w:gutter="0"/>
          <w:pgNumType w:fmt="decimal" w:start="1"/>
          <w:cols w:space="425" w:num="1"/>
          <w:docGrid w:type="lines" w:linePitch="312" w:charSpace="0"/>
        </w:sectPr>
      </w:pPr>
    </w:p>
    <w:p>
      <w:pPr>
        <w:pStyle w:val="2"/>
        <w:keepNext w:val="0"/>
        <w:keepLines w:val="0"/>
        <w:pageBreakBefore w:val="0"/>
        <w:kinsoku/>
        <w:wordWrap/>
        <w:overflowPunct/>
        <w:topLinePunct w:val="0"/>
        <w:bidi w:val="0"/>
        <w:adjustRightInd w:val="0"/>
        <w:snapToGrid w:val="0"/>
        <w:spacing w:after="0" w:afterLines="0" w:line="360" w:lineRule="auto"/>
        <w:ind w:left="0" w:leftChars="0" w:firstLine="0" w:firstLineChars="0"/>
        <w:jc w:val="left"/>
        <w:textAlignment w:val="auto"/>
        <w:rPr>
          <w:color w:val="auto"/>
          <w:highlight w:val="none"/>
        </w:rPr>
      </w:pPr>
      <w:r>
        <w:rPr>
          <w:color w:val="auto"/>
          <w:highlight w:val="none"/>
        </w:rPr>
        <w:drawing>
          <wp:inline distT="0" distB="0" distL="114300" distR="114300">
            <wp:extent cx="5019675" cy="8115300"/>
            <wp:effectExtent l="0" t="0" r="9525" b="0"/>
            <wp:docPr id="3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图片 1"/>
                    <pic:cNvPicPr>
                      <a:picLocks noChangeAspect="1"/>
                    </pic:cNvPicPr>
                  </pic:nvPicPr>
                  <pic:blipFill>
                    <a:blip r:embed="rId18"/>
                    <a:stretch>
                      <a:fillRect/>
                    </a:stretch>
                  </pic:blipFill>
                  <pic:spPr>
                    <a:xfrm>
                      <a:off x="0" y="0"/>
                      <a:ext cx="5019675" cy="8115300"/>
                    </a:xfrm>
                    <a:prstGeom prst="rect">
                      <a:avLst/>
                    </a:prstGeom>
                    <a:noFill/>
                    <a:ln>
                      <a:noFill/>
                    </a:ln>
                  </pic:spPr>
                </pic:pic>
              </a:graphicData>
            </a:graphic>
          </wp:inline>
        </w:drawing>
      </w:r>
    </w:p>
    <w:p>
      <w:pPr>
        <w:pStyle w:val="2"/>
        <w:keepNext w:val="0"/>
        <w:keepLines w:val="0"/>
        <w:pageBreakBefore w:val="0"/>
        <w:kinsoku/>
        <w:wordWrap/>
        <w:overflowPunct/>
        <w:topLinePunct w:val="0"/>
        <w:bidi w:val="0"/>
        <w:adjustRightInd w:val="0"/>
        <w:snapToGrid w:val="0"/>
        <w:spacing w:after="0" w:afterLines="0" w:line="360" w:lineRule="auto"/>
        <w:ind w:left="0" w:leftChars="0" w:firstLine="0" w:firstLineChars="0"/>
        <w:jc w:val="left"/>
        <w:textAlignment w:val="auto"/>
        <w:rPr>
          <w:color w:val="auto"/>
          <w:highlight w:val="none"/>
        </w:rPr>
      </w:pPr>
    </w:p>
    <w:p>
      <w:pPr>
        <w:pStyle w:val="2"/>
        <w:keepNext w:val="0"/>
        <w:keepLines w:val="0"/>
        <w:pageBreakBefore w:val="0"/>
        <w:kinsoku/>
        <w:wordWrap/>
        <w:overflowPunct/>
        <w:topLinePunct w:val="0"/>
        <w:bidi w:val="0"/>
        <w:adjustRightInd w:val="0"/>
        <w:snapToGrid w:val="0"/>
        <w:spacing w:after="0" w:afterLines="0" w:line="360" w:lineRule="auto"/>
        <w:ind w:left="0" w:leftChars="0" w:firstLine="0" w:firstLineChars="0"/>
        <w:jc w:val="center"/>
        <w:textAlignment w:val="auto"/>
        <w:rPr>
          <w:rFonts w:hint="default"/>
          <w:color w:val="auto"/>
          <w:highlight w:val="none"/>
          <w:lang w:val="en-US" w:eastAsia="zh-CN"/>
        </w:rPr>
        <w:sectPr>
          <w:pgSz w:w="11906" w:h="16838"/>
          <w:pgMar w:top="1440" w:right="1800" w:bottom="1440" w:left="1800" w:header="851" w:footer="992" w:gutter="0"/>
          <w:pgNumType w:fmt="decimal"/>
          <w:cols w:space="425" w:num="1"/>
          <w:docGrid w:type="lines" w:linePitch="312" w:charSpace="0"/>
        </w:sectPr>
      </w:pPr>
      <w:r>
        <w:rPr>
          <w:color w:val="auto"/>
          <w:highlight w:val="none"/>
        </w:rPr>
        <w:t>图</w:t>
      </w:r>
      <w:r>
        <w:rPr>
          <w:rFonts w:hint="eastAsia"/>
          <w:color w:val="auto"/>
          <w:highlight w:val="none"/>
          <w:lang w:val="en-US" w:eastAsia="zh-CN"/>
        </w:rPr>
        <w:t>1</w:t>
      </w:r>
      <w:r>
        <w:rPr>
          <w:color w:val="auto"/>
          <w:highlight w:val="none"/>
        </w:rPr>
        <w:t>.3-1</w:t>
      </w:r>
      <w:r>
        <w:rPr>
          <w:rFonts w:hint="eastAsia"/>
          <w:color w:val="auto"/>
          <w:highlight w:val="none"/>
          <w:lang w:val="en-US" w:eastAsia="zh-CN"/>
        </w:rPr>
        <w:t xml:space="preserve">    </w:t>
      </w:r>
      <w:r>
        <w:rPr>
          <w:rFonts w:eastAsia="宋体"/>
          <w:b/>
          <w:color w:val="auto"/>
          <w:sz w:val="24"/>
          <w:highlight w:val="none"/>
        </w:rPr>
        <w:t>本项目水土保持防治措施体系框图</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20" w:afterLines="0"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68" w:name="_Toc20692"/>
      <w:r>
        <w:rPr>
          <w:rFonts w:hint="default" w:ascii="Times New Roman" w:hAnsi="Times New Roman" w:cs="Times New Roman"/>
          <w:b/>
          <w:bCs/>
          <w:color w:val="auto"/>
          <w:sz w:val="28"/>
          <w:szCs w:val="28"/>
          <w:highlight w:val="none"/>
          <w:vertAlign w:val="baseline"/>
          <w:lang w:val="en-US" w:eastAsia="zh-CN"/>
        </w:rPr>
        <w:t xml:space="preserve">1.3.4 </w:t>
      </w:r>
      <w:r>
        <w:rPr>
          <w:rFonts w:hint="eastAsia" w:cs="Times New Roman"/>
          <w:b/>
          <w:bCs/>
          <w:color w:val="auto"/>
          <w:sz w:val="28"/>
          <w:szCs w:val="28"/>
          <w:highlight w:val="none"/>
          <w:vertAlign w:val="baseline"/>
          <w:lang w:val="en-US" w:eastAsia="zh-CN"/>
        </w:rPr>
        <w:t>水土保持措施实施进度</w:t>
      </w:r>
      <w:bookmarkEnd w:id="68"/>
      <w:r>
        <w:rPr>
          <w:rFonts w:hint="default" w:ascii="Times New Roman" w:hAnsi="Times New Roman" w:cs="Times New Roman"/>
          <w:b/>
          <w:bCs/>
          <w:color w:val="auto"/>
          <w:sz w:val="28"/>
          <w:szCs w:val="28"/>
          <w:highlight w:val="none"/>
          <w:vertAlign w:val="baseline"/>
          <w:lang w:val="en-US" w:eastAsia="zh-CN"/>
        </w:rPr>
        <w:t xml:space="preserve">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eastAsia"/>
          <w:color w:val="auto"/>
          <w:highlight w:val="none"/>
          <w:lang w:val="en-US" w:eastAsia="zh-CN"/>
        </w:rPr>
      </w:pPr>
      <w:r>
        <w:rPr>
          <w:rFonts w:hint="eastAsia"/>
          <w:color w:val="auto"/>
          <w:highlight w:val="none"/>
          <w:lang w:val="en-US" w:eastAsia="zh-CN"/>
        </w:rPr>
        <w:t>本项目A、B区于2018年8月开始施工，2020年6月竣工验收，C区因其它原因还未开工。</w:t>
      </w:r>
    </w:p>
    <w:p>
      <w:pPr>
        <w:pStyle w:val="8"/>
        <w:ind w:firstLine="480"/>
        <w:rPr>
          <w:rFonts w:ascii="Times New Roman"/>
          <w:color w:val="auto"/>
          <w:sz w:val="24"/>
          <w:szCs w:val="24"/>
          <w:highlight w:val="none"/>
        </w:rPr>
      </w:pPr>
      <w:r>
        <w:rPr>
          <w:rFonts w:ascii="Times New Roman" w:hAnsi="宋体"/>
          <w:color w:val="auto"/>
          <w:sz w:val="24"/>
          <w:szCs w:val="24"/>
          <w:highlight w:val="none"/>
        </w:rPr>
        <w:t>水土保持方案实施进度安排应与主体工程施工进度相适应，坚持</w:t>
      </w:r>
      <w:r>
        <w:rPr>
          <w:rFonts w:ascii="Times New Roman"/>
          <w:color w:val="auto"/>
          <w:sz w:val="24"/>
          <w:szCs w:val="24"/>
          <w:highlight w:val="none"/>
        </w:rPr>
        <w:t>“</w:t>
      </w:r>
      <w:r>
        <w:rPr>
          <w:rFonts w:ascii="Times New Roman" w:hAnsi="宋体"/>
          <w:color w:val="auto"/>
          <w:sz w:val="24"/>
          <w:szCs w:val="24"/>
          <w:highlight w:val="none"/>
        </w:rPr>
        <w:t>因地制宜，因害设防</w:t>
      </w:r>
      <w:r>
        <w:rPr>
          <w:rFonts w:ascii="Times New Roman"/>
          <w:color w:val="auto"/>
          <w:sz w:val="24"/>
          <w:szCs w:val="24"/>
          <w:highlight w:val="none"/>
        </w:rPr>
        <w:t>”</w:t>
      </w:r>
      <w:r>
        <w:rPr>
          <w:rFonts w:ascii="Times New Roman" w:hAnsi="宋体"/>
          <w:color w:val="auto"/>
          <w:sz w:val="24"/>
          <w:szCs w:val="24"/>
          <w:highlight w:val="none"/>
        </w:rPr>
        <w:t>的原则，首先安排水土流失严重区域的防治措施。在措施安排上，工程措施，植物措施、临时措施应根据轻重缓急、统筹考虑，原则上应对工程措施优先安排，但还必须根据植物的生物学特性，选择适宜季节实施。同时，还需综合考虑年度投资平衡等因素。</w:t>
      </w:r>
    </w:p>
    <w:p>
      <w:pPr>
        <w:ind w:firstLine="480"/>
        <w:rPr>
          <w:color w:val="auto"/>
          <w:highlight w:val="none"/>
        </w:rPr>
      </w:pPr>
      <w:r>
        <w:rPr>
          <w:rFonts w:hAnsi="宋体"/>
          <w:color w:val="auto"/>
          <w:szCs w:val="24"/>
          <w:highlight w:val="none"/>
        </w:rPr>
        <w:t>按照水土保持工程与主体工程</w:t>
      </w:r>
      <w:r>
        <w:rPr>
          <w:color w:val="auto"/>
          <w:szCs w:val="24"/>
          <w:highlight w:val="none"/>
        </w:rPr>
        <w:t>“</w:t>
      </w:r>
      <w:r>
        <w:rPr>
          <w:rFonts w:hAnsi="宋体"/>
          <w:color w:val="auto"/>
          <w:szCs w:val="24"/>
          <w:highlight w:val="none"/>
        </w:rPr>
        <w:t>三同时</w:t>
      </w:r>
      <w:r>
        <w:rPr>
          <w:color w:val="auto"/>
          <w:szCs w:val="24"/>
          <w:highlight w:val="none"/>
        </w:rPr>
        <w:t>”</w:t>
      </w:r>
      <w:r>
        <w:rPr>
          <w:rFonts w:hAnsi="宋体"/>
          <w:color w:val="auto"/>
          <w:szCs w:val="24"/>
          <w:highlight w:val="none"/>
        </w:rPr>
        <w:t>原则安排水土保持工程施工进度，同时考虑到水土保持工程措施的先期预防作用（如挡土坎、排水沟应在主体工程开工前提前修筑）和水保林草等植物措施建设的相对滞后</w:t>
      </w:r>
      <w:r>
        <w:rPr>
          <w:rFonts w:hint="eastAsia" w:ascii="宋体" w:hAnsi="宋体" w:cs="宋体"/>
          <w:color w:val="auto"/>
          <w:kern w:val="0"/>
          <w:szCs w:val="24"/>
          <w:highlight w:val="none"/>
          <w:lang w:val="zh-CN"/>
        </w:rPr>
        <w:t>。</w:t>
      </w:r>
    </w:p>
    <w:p>
      <w:pPr>
        <w:ind w:firstLine="964" w:firstLineChars="400"/>
        <w:rPr>
          <w:rFonts w:ascii="Times New Roman" w:hAnsi="宋体" w:eastAsia="宋体" w:cstheme="minorBidi"/>
          <w:b/>
          <w:bCs/>
          <w:color w:val="auto"/>
          <w:kern w:val="2"/>
          <w:sz w:val="24"/>
          <w:szCs w:val="24"/>
          <w:highlight w:val="none"/>
          <w:lang w:val="en-US" w:eastAsia="zh-CN" w:bidi="ar-SA"/>
        </w:rPr>
      </w:pPr>
      <w:r>
        <w:rPr>
          <w:rFonts w:ascii="Times New Roman" w:hAnsi="宋体" w:eastAsia="宋体" w:cstheme="minorBidi"/>
          <w:b/>
          <w:bCs/>
          <w:color w:val="auto"/>
          <w:kern w:val="2"/>
          <w:sz w:val="24"/>
          <w:szCs w:val="24"/>
          <w:highlight w:val="none"/>
          <w:lang w:val="en-US" w:eastAsia="zh-CN" w:bidi="ar-SA"/>
        </w:rPr>
        <w:t>表</w:t>
      </w:r>
      <w:r>
        <w:rPr>
          <w:rFonts w:hint="eastAsia" w:hAnsi="宋体" w:cstheme="minorBidi"/>
          <w:b/>
          <w:bCs/>
          <w:color w:val="auto"/>
          <w:kern w:val="2"/>
          <w:sz w:val="24"/>
          <w:szCs w:val="24"/>
          <w:highlight w:val="none"/>
          <w:lang w:val="en-US" w:eastAsia="zh-CN" w:bidi="ar-SA"/>
        </w:rPr>
        <w:t>1</w:t>
      </w:r>
      <w:r>
        <w:rPr>
          <w:rFonts w:hint="eastAsia" w:ascii="Times New Roman" w:hAnsi="宋体" w:eastAsia="宋体" w:cstheme="minorBidi"/>
          <w:b/>
          <w:bCs/>
          <w:color w:val="auto"/>
          <w:kern w:val="2"/>
          <w:sz w:val="24"/>
          <w:szCs w:val="24"/>
          <w:highlight w:val="none"/>
          <w:lang w:val="en-US" w:eastAsia="zh-CN" w:bidi="ar-SA"/>
        </w:rPr>
        <w:t>.</w:t>
      </w:r>
      <w:r>
        <w:rPr>
          <w:rFonts w:hint="eastAsia" w:hAnsi="宋体" w:cstheme="minorBidi"/>
          <w:b/>
          <w:bCs/>
          <w:color w:val="auto"/>
          <w:kern w:val="2"/>
          <w:sz w:val="24"/>
          <w:szCs w:val="24"/>
          <w:highlight w:val="none"/>
          <w:lang w:val="en-US" w:eastAsia="zh-CN" w:bidi="ar-SA"/>
        </w:rPr>
        <w:t>3</w:t>
      </w:r>
      <w:r>
        <w:rPr>
          <w:rFonts w:ascii="Times New Roman" w:hAnsi="宋体" w:eastAsia="宋体" w:cstheme="minorBidi"/>
          <w:b/>
          <w:bCs/>
          <w:color w:val="auto"/>
          <w:kern w:val="2"/>
          <w:sz w:val="24"/>
          <w:szCs w:val="24"/>
          <w:highlight w:val="none"/>
          <w:lang w:val="en-US" w:eastAsia="zh-CN" w:bidi="ar-SA"/>
        </w:rPr>
        <w:t>-</w:t>
      </w:r>
      <w:r>
        <w:rPr>
          <w:rFonts w:hint="eastAsia" w:hAnsi="宋体" w:cstheme="minorBidi"/>
          <w:b/>
          <w:bCs/>
          <w:color w:val="auto"/>
          <w:kern w:val="2"/>
          <w:sz w:val="24"/>
          <w:szCs w:val="24"/>
          <w:highlight w:val="none"/>
          <w:lang w:val="en-US" w:eastAsia="zh-CN" w:bidi="ar-SA"/>
        </w:rPr>
        <w:t>3</w:t>
      </w:r>
      <w:r>
        <w:rPr>
          <w:rFonts w:ascii="Times New Roman" w:hAnsi="宋体" w:eastAsia="宋体" w:cstheme="minorBidi"/>
          <w:b/>
          <w:bCs/>
          <w:color w:val="auto"/>
          <w:kern w:val="2"/>
          <w:sz w:val="24"/>
          <w:szCs w:val="24"/>
          <w:highlight w:val="none"/>
          <w:lang w:val="en-US" w:eastAsia="zh-CN" w:bidi="ar-SA"/>
        </w:rPr>
        <w:t xml:space="preserve">          </w:t>
      </w:r>
      <w:r>
        <w:rPr>
          <w:rFonts w:hint="eastAsia" w:ascii="Times New Roman" w:hAnsi="宋体" w:eastAsia="宋体" w:cstheme="minorBidi"/>
          <w:b/>
          <w:bCs/>
          <w:color w:val="auto"/>
          <w:kern w:val="2"/>
          <w:sz w:val="24"/>
          <w:szCs w:val="24"/>
          <w:highlight w:val="none"/>
          <w:lang w:val="en-US" w:eastAsia="zh-CN" w:bidi="ar-SA"/>
        </w:rPr>
        <w:t>本</w:t>
      </w:r>
      <w:r>
        <w:rPr>
          <w:rFonts w:ascii="Times New Roman" w:hAnsi="宋体" w:eastAsia="宋体" w:cstheme="minorBidi"/>
          <w:b/>
          <w:bCs/>
          <w:color w:val="auto"/>
          <w:kern w:val="2"/>
          <w:sz w:val="24"/>
          <w:szCs w:val="24"/>
          <w:highlight w:val="none"/>
          <w:lang w:val="en-US" w:eastAsia="zh-CN" w:bidi="ar-SA"/>
        </w:rPr>
        <w:t>项目</w:t>
      </w:r>
      <w:r>
        <w:rPr>
          <w:rFonts w:hint="eastAsia" w:ascii="Times New Roman" w:hAnsi="宋体" w:eastAsia="宋体" w:cstheme="minorBidi"/>
          <w:b/>
          <w:bCs/>
          <w:color w:val="auto"/>
          <w:kern w:val="2"/>
          <w:sz w:val="24"/>
          <w:szCs w:val="24"/>
          <w:highlight w:val="none"/>
          <w:lang w:val="en-US" w:eastAsia="zh-CN" w:bidi="ar-SA"/>
        </w:rPr>
        <w:t>水土保持措施实施</w:t>
      </w:r>
      <w:r>
        <w:rPr>
          <w:rFonts w:ascii="Times New Roman" w:hAnsi="宋体" w:eastAsia="宋体" w:cstheme="minorBidi"/>
          <w:b/>
          <w:bCs/>
          <w:color w:val="auto"/>
          <w:kern w:val="2"/>
          <w:sz w:val="24"/>
          <w:szCs w:val="24"/>
          <w:highlight w:val="none"/>
          <w:lang w:val="en-US" w:eastAsia="zh-CN" w:bidi="ar-SA"/>
        </w:rPr>
        <w:t>进度表</w:t>
      </w:r>
    </w:p>
    <w:tbl>
      <w:tblPr>
        <w:tblStyle w:val="21"/>
        <w:tblW w:w="7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725"/>
        <w:gridCol w:w="2312"/>
        <w:gridCol w:w="2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blHeader/>
          <w:jc w:val="center"/>
        </w:trPr>
        <w:tc>
          <w:tcPr>
            <w:tcW w:w="2775" w:type="dxa"/>
            <w:gridSpan w:val="2"/>
            <w:tcBorders>
              <w:tl2br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bookmarkStart w:id="69" w:name="_Toc25605"/>
            <w:r>
              <w:rPr>
                <w:rFonts w:hint="eastAsia"/>
                <w:color w:val="auto"/>
                <w:sz w:val="21"/>
                <w:szCs w:val="21"/>
                <w:highlight w:val="none"/>
                <w:lang w:val="en-US" w:eastAsia="zh-CN"/>
              </w:rPr>
              <w:t xml:space="preserve">       </w:t>
            </w:r>
            <w:r>
              <w:rPr>
                <w:color w:val="auto"/>
                <w:sz w:val="21"/>
                <w:szCs w:val="21"/>
                <w:highlight w:val="none"/>
              </w:rPr>
              <w:t xml:space="preserve"> </w:t>
            </w:r>
            <w:r>
              <w:rPr>
                <w:rFonts w:hint="eastAsia"/>
                <w:color w:val="auto"/>
                <w:sz w:val="21"/>
                <w:szCs w:val="21"/>
                <w:highlight w:val="none"/>
                <w:lang w:val="en-US" w:eastAsia="zh-CN"/>
              </w:rPr>
              <w:t xml:space="preserve">   </w:t>
            </w:r>
            <w:r>
              <w:rPr>
                <w:color w:val="auto"/>
                <w:sz w:val="21"/>
                <w:szCs w:val="21"/>
                <w:highlight w:val="none"/>
              </w:rPr>
              <w:t>时 间</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highlight w:val="none"/>
              </w:rPr>
            </w:pPr>
            <w:r>
              <w:rPr>
                <w:color w:val="auto"/>
                <w:sz w:val="21"/>
                <w:szCs w:val="21"/>
                <w:highlight w:val="none"/>
              </w:rPr>
              <w:t>建设项目</w:t>
            </w:r>
          </w:p>
        </w:tc>
        <w:tc>
          <w:tcPr>
            <w:tcW w:w="23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仿宋_GB2312"/>
                <w:color w:val="auto"/>
                <w:sz w:val="21"/>
                <w:szCs w:val="21"/>
                <w:highlight w:val="none"/>
                <w:lang w:val="en-US" w:eastAsia="zh-CN"/>
              </w:rPr>
            </w:pPr>
            <w:r>
              <w:rPr>
                <w:rFonts w:hint="eastAsia"/>
                <w:color w:val="auto"/>
                <w:sz w:val="21"/>
                <w:szCs w:val="21"/>
                <w:highlight w:val="none"/>
                <w:lang w:val="en-US" w:eastAsia="zh-CN"/>
              </w:rPr>
              <w:t>自拆迁完成后2个月内</w:t>
            </w:r>
          </w:p>
        </w:tc>
        <w:tc>
          <w:tcPr>
            <w:tcW w:w="23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sz w:val="21"/>
                <w:szCs w:val="21"/>
                <w:highlight w:val="none"/>
                <w:lang w:val="en-US" w:eastAsia="zh-CN"/>
              </w:rPr>
              <w:t>自拆迁完成后2个年内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sz w:val="21"/>
                <w:szCs w:val="21"/>
                <w:highlight w:val="none"/>
                <w:lang w:val="en-US" w:eastAsia="zh-CN"/>
              </w:rPr>
              <w:t>A</w:t>
            </w:r>
            <w:r>
              <w:rPr>
                <w:color w:val="auto"/>
                <w:sz w:val="21"/>
                <w:szCs w:val="21"/>
                <w:highlight w:val="none"/>
              </w:rPr>
              <w:t>区</w:t>
            </w:r>
          </w:p>
        </w:tc>
        <w:tc>
          <w:tcPr>
            <w:tcW w:w="17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color w:val="auto"/>
                <w:sz w:val="21"/>
                <w:szCs w:val="21"/>
                <w:highlight w:val="none"/>
              </w:rPr>
              <w:t>施工准备期</w:t>
            </w:r>
          </w:p>
        </w:tc>
        <w:tc>
          <w:tcPr>
            <w:tcW w:w="23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sz w:val="21"/>
                <w:szCs w:val="21"/>
                <w:highlight w:val="none"/>
              </w:rPr>
              <w:t>★</w:t>
            </w:r>
          </w:p>
        </w:tc>
        <w:tc>
          <w:tcPr>
            <w:tcW w:w="23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17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color w:val="auto"/>
                <w:sz w:val="21"/>
                <w:szCs w:val="21"/>
                <w:highlight w:val="none"/>
              </w:rPr>
              <w:t>主体工程施工</w:t>
            </w:r>
          </w:p>
        </w:tc>
        <w:tc>
          <w:tcPr>
            <w:tcW w:w="23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p>
        </w:tc>
        <w:tc>
          <w:tcPr>
            <w:tcW w:w="23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17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仿宋_GB2312"/>
                <w:color w:val="auto"/>
                <w:sz w:val="21"/>
                <w:szCs w:val="21"/>
                <w:highlight w:val="none"/>
                <w:lang w:val="en-US" w:eastAsia="zh-CN"/>
              </w:rPr>
            </w:pPr>
            <w:r>
              <w:rPr>
                <w:rFonts w:hint="eastAsia"/>
                <w:color w:val="auto"/>
                <w:sz w:val="21"/>
                <w:szCs w:val="21"/>
                <w:highlight w:val="none"/>
                <w:lang w:val="en-US" w:eastAsia="zh-CN"/>
              </w:rPr>
              <w:t>水土保持措施</w:t>
            </w:r>
          </w:p>
        </w:tc>
        <w:tc>
          <w:tcPr>
            <w:tcW w:w="23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p>
        </w:tc>
        <w:tc>
          <w:tcPr>
            <w:tcW w:w="23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05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sz w:val="21"/>
                <w:szCs w:val="21"/>
                <w:highlight w:val="none"/>
                <w:lang w:val="en-US" w:eastAsia="zh-CN"/>
              </w:rPr>
              <w:t>B</w:t>
            </w:r>
            <w:r>
              <w:rPr>
                <w:color w:val="auto"/>
                <w:sz w:val="21"/>
                <w:szCs w:val="21"/>
                <w:highlight w:val="none"/>
              </w:rPr>
              <w:t>区</w:t>
            </w:r>
          </w:p>
        </w:tc>
        <w:tc>
          <w:tcPr>
            <w:tcW w:w="17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color w:val="auto"/>
                <w:sz w:val="21"/>
                <w:szCs w:val="21"/>
                <w:highlight w:val="none"/>
              </w:rPr>
              <w:t>施工准备期</w:t>
            </w:r>
          </w:p>
        </w:tc>
        <w:tc>
          <w:tcPr>
            <w:tcW w:w="23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sz w:val="21"/>
                <w:szCs w:val="21"/>
                <w:highlight w:val="none"/>
              </w:rPr>
              <w:t>★</w:t>
            </w:r>
          </w:p>
        </w:tc>
        <w:tc>
          <w:tcPr>
            <w:tcW w:w="23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17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color w:val="auto"/>
                <w:sz w:val="21"/>
                <w:szCs w:val="21"/>
                <w:highlight w:val="none"/>
              </w:rPr>
              <w:t>主体工程施工</w:t>
            </w:r>
          </w:p>
        </w:tc>
        <w:tc>
          <w:tcPr>
            <w:tcW w:w="23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p>
        </w:tc>
        <w:tc>
          <w:tcPr>
            <w:tcW w:w="23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17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sz w:val="21"/>
                <w:szCs w:val="21"/>
                <w:highlight w:val="none"/>
                <w:lang w:val="en-US" w:eastAsia="zh-CN"/>
              </w:rPr>
              <w:t>水土保持措施</w:t>
            </w:r>
          </w:p>
        </w:tc>
        <w:tc>
          <w:tcPr>
            <w:tcW w:w="23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p>
        </w:tc>
        <w:tc>
          <w:tcPr>
            <w:tcW w:w="23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sz w:val="21"/>
                <w:szCs w:val="21"/>
                <w:highlight w:val="none"/>
                <w:lang w:val="en-US" w:eastAsia="zh-CN"/>
              </w:rPr>
              <w:t>C</w:t>
            </w:r>
            <w:r>
              <w:rPr>
                <w:color w:val="auto"/>
                <w:sz w:val="21"/>
                <w:szCs w:val="21"/>
                <w:highlight w:val="none"/>
              </w:rPr>
              <w:t>区</w:t>
            </w:r>
          </w:p>
        </w:tc>
        <w:tc>
          <w:tcPr>
            <w:tcW w:w="17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color w:val="auto"/>
                <w:sz w:val="21"/>
                <w:szCs w:val="21"/>
                <w:highlight w:val="none"/>
              </w:rPr>
              <w:t>施工准备期</w:t>
            </w:r>
          </w:p>
        </w:tc>
        <w:tc>
          <w:tcPr>
            <w:tcW w:w="23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sz w:val="21"/>
                <w:szCs w:val="21"/>
                <w:highlight w:val="none"/>
              </w:rPr>
              <w:t>★</w:t>
            </w:r>
          </w:p>
        </w:tc>
        <w:tc>
          <w:tcPr>
            <w:tcW w:w="23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17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color w:val="auto"/>
                <w:sz w:val="21"/>
                <w:szCs w:val="21"/>
                <w:highlight w:val="none"/>
              </w:rPr>
              <w:t>主体工程施工</w:t>
            </w:r>
          </w:p>
        </w:tc>
        <w:tc>
          <w:tcPr>
            <w:tcW w:w="23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p>
        </w:tc>
        <w:tc>
          <w:tcPr>
            <w:tcW w:w="23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17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sz w:val="21"/>
                <w:szCs w:val="21"/>
                <w:highlight w:val="none"/>
                <w:lang w:val="en-US" w:eastAsia="zh-CN"/>
              </w:rPr>
              <w:t>水土保持措施</w:t>
            </w:r>
          </w:p>
        </w:tc>
        <w:tc>
          <w:tcPr>
            <w:tcW w:w="23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p>
        </w:tc>
        <w:tc>
          <w:tcPr>
            <w:tcW w:w="23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rPr>
            </w:pPr>
            <w:r>
              <w:rPr>
                <w:rFonts w:hint="eastAsia"/>
                <w:color w:val="auto"/>
                <w:sz w:val="21"/>
                <w:szCs w:val="21"/>
                <w:highlight w:val="none"/>
              </w:rPr>
              <w:t>★</w:t>
            </w:r>
          </w:p>
        </w:tc>
      </w:tr>
    </w:tbl>
    <w:p>
      <w:pPr>
        <w:pStyle w:val="2"/>
        <w:keepNext w:val="0"/>
        <w:keepLines w:val="0"/>
        <w:pageBreakBefore w:val="0"/>
        <w:widowControl w:val="0"/>
        <w:kinsoku/>
        <w:wordWrap/>
        <w:overflowPunct/>
        <w:topLinePunct w:val="0"/>
        <w:autoSpaceDE/>
        <w:autoSpaceDN/>
        <w:bidi w:val="0"/>
        <w:adjustRightInd w:val="0"/>
        <w:snapToGrid w:val="0"/>
        <w:spacing w:after="20" w:line="360" w:lineRule="auto"/>
        <w:ind w:left="0" w:leftChars="0" w:firstLine="0" w:firstLineChars="0"/>
        <w:jc w:val="left"/>
        <w:textAlignment w:val="auto"/>
        <w:outlineLvl w:val="0"/>
        <w:rPr>
          <w:rFonts w:hint="default" w:ascii="Times New Roman" w:hAnsi="Times New Roman" w:cs="Times New Roman"/>
          <w:b/>
          <w:bCs/>
          <w:color w:val="auto"/>
          <w:sz w:val="36"/>
          <w:szCs w:val="36"/>
          <w:highlight w:val="none"/>
          <w:lang w:val="en-US" w:eastAsia="zh-CN"/>
        </w:rPr>
      </w:pPr>
      <w:r>
        <w:rPr>
          <w:rFonts w:hint="default" w:ascii="Times New Roman" w:hAnsi="Times New Roman" w:cs="Times New Roman"/>
          <w:b/>
          <w:bCs/>
          <w:color w:val="auto"/>
          <w:sz w:val="36"/>
          <w:szCs w:val="36"/>
          <w:highlight w:val="none"/>
          <w:lang w:val="en-US" w:eastAsia="zh-CN"/>
        </w:rPr>
        <w:t>1.4 监测准备期现场调查评价</w:t>
      </w:r>
      <w:bookmarkEnd w:id="69"/>
      <w:r>
        <w:rPr>
          <w:rFonts w:hint="default" w:ascii="Times New Roman" w:hAnsi="Times New Roman" w:cs="Times New Roman"/>
          <w:b/>
          <w:bCs/>
          <w:color w:val="auto"/>
          <w:sz w:val="36"/>
          <w:szCs w:val="36"/>
          <w:highlight w:val="none"/>
          <w:lang w:val="en-US" w:eastAsia="zh-CN"/>
        </w:rPr>
        <w:t xml:space="preserve">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eastAsia" w:hAnsi="宋体"/>
          <w:color w:val="auto"/>
          <w:kern w:val="0"/>
          <w:sz w:val="24"/>
          <w:szCs w:val="24"/>
          <w:highlight w:val="none"/>
          <w:lang w:val="en-US" w:eastAsia="zh-CN"/>
        </w:rPr>
      </w:pPr>
      <w:r>
        <w:rPr>
          <w:rFonts w:hint="eastAsia" w:hAnsi="宋体"/>
          <w:color w:val="auto"/>
          <w:kern w:val="0"/>
          <w:sz w:val="24"/>
          <w:szCs w:val="24"/>
          <w:highlight w:val="none"/>
          <w:lang w:val="en-US" w:eastAsia="zh-CN"/>
        </w:rPr>
        <w:t>2021年12月，衡阳市城市建设投资有限公司委托湖南华意项目管理有限公司承担本项目水土保持监测工作。</w:t>
      </w:r>
    </w:p>
    <w:p>
      <w:pPr>
        <w:rPr>
          <w:rFonts w:hint="eastAsia" w:hAnsi="宋体"/>
          <w:color w:val="auto"/>
          <w:kern w:val="0"/>
          <w:sz w:val="24"/>
          <w:szCs w:val="24"/>
          <w:highlight w:val="none"/>
          <w:lang w:val="en-US" w:eastAsia="zh-CN"/>
        </w:rPr>
      </w:pPr>
      <w:r>
        <w:rPr>
          <w:rFonts w:hint="eastAsia" w:hAnsi="宋体"/>
          <w:color w:val="auto"/>
          <w:kern w:val="0"/>
          <w:sz w:val="24"/>
          <w:szCs w:val="24"/>
          <w:highlight w:val="none"/>
          <w:lang w:val="en-US" w:eastAsia="zh-CN"/>
        </w:rPr>
        <w:br w:type="page"/>
      </w:r>
    </w:p>
    <w:p>
      <w:pPr>
        <w:ind w:left="0" w:leftChars="0" w:firstLine="0" w:firstLineChars="0"/>
        <w:jc w:val="center"/>
        <w:outlineLvl w:val="0"/>
        <w:rPr>
          <w:rFonts w:hint="default" w:ascii="Times New Roman" w:hAnsi="Times New Roman" w:eastAsia="黑体" w:cs="Times New Roman"/>
          <w:color w:val="auto"/>
          <w:sz w:val="44"/>
          <w:szCs w:val="44"/>
          <w:highlight w:val="none"/>
          <w:lang w:val="en-US" w:eastAsia="zh-CN"/>
        </w:rPr>
      </w:pPr>
      <w:bookmarkStart w:id="70" w:name="_Toc15077"/>
      <w:r>
        <w:rPr>
          <w:rFonts w:hint="eastAsia" w:eastAsia="黑体" w:cs="Times New Roman"/>
          <w:color w:val="auto"/>
          <w:sz w:val="44"/>
          <w:szCs w:val="44"/>
          <w:highlight w:val="none"/>
          <w:lang w:val="en-US" w:eastAsia="zh-CN"/>
        </w:rPr>
        <w:t>2水土保持监测布局</w:t>
      </w:r>
      <w:bookmarkEnd w:id="70"/>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ascii="Times New Roman" w:hAnsi="Times New Roman" w:cs="Times New Roman"/>
          <w:b/>
          <w:bCs/>
          <w:color w:val="auto"/>
          <w:sz w:val="36"/>
          <w:szCs w:val="36"/>
          <w:highlight w:val="none"/>
          <w:lang w:val="en-US" w:eastAsia="zh-CN"/>
        </w:rPr>
      </w:pPr>
      <w:bookmarkStart w:id="71" w:name="_Toc344"/>
      <w:r>
        <w:rPr>
          <w:rFonts w:hint="eastAsia" w:cs="Times New Roman"/>
          <w:b/>
          <w:bCs/>
          <w:color w:val="auto"/>
          <w:sz w:val="36"/>
          <w:szCs w:val="36"/>
          <w:highlight w:val="none"/>
          <w:lang w:val="en-US" w:eastAsia="zh-CN"/>
        </w:rPr>
        <w:t>2.1监测目标与任务</w:t>
      </w:r>
      <w:bookmarkEnd w:id="71"/>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72" w:name="_Toc6006"/>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.1.1</w:t>
      </w:r>
      <w:r>
        <w:rPr>
          <w:rFonts w:hint="eastAsia" w:cs="Times New Roman"/>
          <w:b/>
          <w:bCs/>
          <w:color w:val="auto"/>
          <w:sz w:val="28"/>
          <w:szCs w:val="28"/>
          <w:highlight w:val="none"/>
          <w:vertAlign w:val="baseline"/>
          <w:lang w:val="en-US" w:eastAsia="zh-CN"/>
        </w:rPr>
        <w:t>监测目标</w:t>
      </w:r>
      <w:bookmarkEnd w:id="72"/>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（1）通过对本项目开展水土保持监测，协助建设单位落实水土保持方案设计的各项水土保持防治措施，加强水土保持后续设计和施工管理，优化水土流失防治措施，协调水土保持工程与主体工程建设进度；</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（2）监测过程中，及时、准确掌握建设本项目水土流失状况和防治效果，提出水土保持改进措施，进一步完善防治措施体系，提高防治效果，减少人为水土流失；</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（3）及时分析、处理监测资料，评价和掌握新机场工程建设对水土流失产生的实际影响，以准确评价工程建设可能产生的水土流失及其危害的影响程度和范围；</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4）分析验证本项目水土保持方案实施后各项水土流失防治措施的蓄水保土、防蚀减灾等效果，检验水土流失防治目标的准确性，了解不同条件下水土流失发生、发展的变化规律，同时为优化水土保持措施设计提供依据，为同类项目的水土流失预测和布设防治措施体系提供借鉴经验和资料；</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（5）为实现水土保持方案防治目标提供数据，为项目水土保持专项验收提供资料；</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（6）提供水土保持监督管理技术依据和公众监督基础信息，促进项目区生态环境的有效保护和技术恢复；</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（7）及时发现建设过程中的重大水土流失隐患，提出水土流失防治对策建议，以便采取有效的防治措施，促进项目区生态环境的有效保护和及时恢复。</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73" w:name="_Toc30887"/>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.1.</w:t>
      </w:r>
      <w:r>
        <w:rPr>
          <w:rFonts w:hint="eastAsia" w:cs="Times New Roman"/>
          <w:b/>
          <w:bCs/>
          <w:color w:val="auto"/>
          <w:sz w:val="28"/>
          <w:szCs w:val="28"/>
          <w:highlight w:val="none"/>
          <w:vertAlign w:val="baseline"/>
          <w:lang w:val="en-US" w:eastAsia="zh-CN"/>
        </w:rPr>
        <w:t>2监测任务</w:t>
      </w:r>
      <w:bookmarkEnd w:id="73"/>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依据水利部批复的水土保持方案、水利部《关于规范生产建设项目水土保持监测工作的意见》等要求，水土保持监测工作针对主体工程建设进度、工程建设扰动土地面积、水土保持工程建设进度、水土流失因子、土壤流失量、水土流失危害事件、水土流失防治效果，以及水土保持工程设计、水土保持管理等方面，使用地面观测和调查监测方法进行监测，对工程水土流失防治效益中的六大指标进行动态反映。</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ascii="Times New Roman" w:hAnsi="Times New Roman" w:cs="Times New Roman"/>
          <w:b/>
          <w:bCs/>
          <w:color w:val="auto"/>
          <w:sz w:val="36"/>
          <w:szCs w:val="36"/>
          <w:highlight w:val="none"/>
          <w:lang w:val="en-US" w:eastAsia="zh-CN"/>
        </w:rPr>
      </w:pPr>
      <w:bookmarkStart w:id="74" w:name="_Toc2726"/>
      <w:r>
        <w:rPr>
          <w:rFonts w:hint="eastAsia" w:cs="Times New Roman"/>
          <w:b/>
          <w:bCs/>
          <w:color w:val="auto"/>
          <w:sz w:val="36"/>
          <w:szCs w:val="36"/>
          <w:highlight w:val="none"/>
          <w:lang w:val="en-US" w:eastAsia="zh-CN"/>
        </w:rPr>
        <w:t>2.2监测范围及分区</w:t>
      </w:r>
      <w:bookmarkEnd w:id="74"/>
    </w:p>
    <w:p>
      <w:pPr>
        <w:pStyle w:val="39"/>
        <w:rPr>
          <w:rFonts w:hint="eastAsia"/>
          <w:color w:val="auto"/>
          <w:highlight w:val="none"/>
        </w:rPr>
      </w:pPr>
      <w:r>
        <w:rPr>
          <w:rFonts w:hint="eastAsia"/>
          <w:color w:val="auto"/>
          <w:highlight w:val="none"/>
        </w:rPr>
        <w:t>项目建设区为红线内的范围；该项目建设区面积</w:t>
      </w:r>
      <w:r>
        <w:rPr>
          <w:rFonts w:hint="eastAsia"/>
          <w:color w:val="auto"/>
          <w:highlight w:val="none"/>
          <w:lang w:val="en-US" w:eastAsia="zh-CN"/>
        </w:rPr>
        <w:t>8.48</w:t>
      </w:r>
      <w:r>
        <w:rPr>
          <w:rFonts w:hint="eastAsia"/>
          <w:color w:val="auto"/>
          <w:highlight w:val="none"/>
        </w:rPr>
        <w:t>hm</w:t>
      </w:r>
      <w:r>
        <w:rPr>
          <w:rFonts w:hint="eastAsia"/>
          <w:color w:val="auto"/>
          <w:highlight w:val="none"/>
          <w:vertAlign w:val="superscript"/>
        </w:rPr>
        <w:t>2</w:t>
      </w:r>
      <w:r>
        <w:rPr>
          <w:rFonts w:hint="eastAsia"/>
          <w:color w:val="auto"/>
          <w:highlight w:val="none"/>
        </w:rPr>
        <w:t>，项目占地范围主要包括</w:t>
      </w:r>
      <w:r>
        <w:rPr>
          <w:rFonts w:hint="eastAsia"/>
          <w:color w:val="auto"/>
          <w:highlight w:val="none"/>
          <w:lang w:val="en-US" w:eastAsia="zh-CN"/>
        </w:rPr>
        <w:t>建筑</w:t>
      </w:r>
      <w:r>
        <w:rPr>
          <w:rFonts w:hint="eastAsia"/>
          <w:color w:val="auto"/>
          <w:highlight w:val="none"/>
        </w:rPr>
        <w:t>区、道路区、绿化区</w:t>
      </w:r>
      <w:r>
        <w:rPr>
          <w:rFonts w:hint="eastAsia"/>
          <w:color w:val="auto"/>
          <w:highlight w:val="none"/>
          <w:lang w:eastAsia="zh-CN"/>
        </w:rPr>
        <w:t>、</w:t>
      </w:r>
      <w:r>
        <w:rPr>
          <w:rFonts w:hint="eastAsia"/>
          <w:color w:val="auto"/>
          <w:highlight w:val="none"/>
          <w:lang w:val="en-US" w:eastAsia="zh-CN"/>
        </w:rPr>
        <w:t>停车区及水域</w:t>
      </w:r>
      <w:r>
        <w:rPr>
          <w:rFonts w:hint="eastAsia"/>
          <w:color w:val="auto"/>
          <w:highlight w:val="none"/>
        </w:rPr>
        <w:t>。</w:t>
      </w:r>
    </w:p>
    <w:p>
      <w:pPr>
        <w:pStyle w:val="39"/>
        <w:rPr>
          <w:rFonts w:hint="eastAsia"/>
          <w:color w:val="auto"/>
          <w:highlight w:val="none"/>
        </w:rPr>
      </w:pPr>
      <w:r>
        <w:rPr>
          <w:rFonts w:hint="eastAsia"/>
          <w:color w:val="auto"/>
          <w:highlight w:val="none"/>
        </w:rPr>
        <w:t>本项目的水土保持监测时段从</w:t>
      </w:r>
      <w:r>
        <w:rPr>
          <w:rFonts w:hint="eastAsia"/>
          <w:color w:val="auto"/>
          <w:highlight w:val="none"/>
          <w:lang w:val="en-US" w:eastAsia="zh-CN"/>
        </w:rPr>
        <w:t>监测任务</w:t>
      </w:r>
      <w:r>
        <w:rPr>
          <w:rFonts w:hint="eastAsia"/>
          <w:color w:val="auto"/>
          <w:highlight w:val="none"/>
        </w:rPr>
        <w:t>开始至设计水平年结束，因此本项目从 20</w:t>
      </w:r>
      <w:r>
        <w:rPr>
          <w:rFonts w:hint="eastAsia"/>
          <w:color w:val="auto"/>
          <w:highlight w:val="none"/>
          <w:lang w:val="en-US" w:eastAsia="zh-CN"/>
        </w:rPr>
        <w:t>21</w:t>
      </w:r>
      <w:r>
        <w:rPr>
          <w:rFonts w:hint="eastAsia"/>
          <w:color w:val="auto"/>
          <w:highlight w:val="none"/>
        </w:rPr>
        <w:t>年</w:t>
      </w:r>
      <w:r>
        <w:rPr>
          <w:rFonts w:hint="eastAsia"/>
          <w:color w:val="auto"/>
          <w:highlight w:val="none"/>
          <w:lang w:val="en-US" w:eastAsia="zh-CN"/>
        </w:rPr>
        <w:t>10</w:t>
      </w:r>
      <w:r>
        <w:rPr>
          <w:rFonts w:hint="eastAsia"/>
          <w:color w:val="auto"/>
          <w:highlight w:val="none"/>
        </w:rPr>
        <w:t>月开始监测至 2021 年1</w:t>
      </w:r>
      <w:r>
        <w:rPr>
          <w:rFonts w:hint="eastAsia"/>
          <w:color w:val="auto"/>
          <w:highlight w:val="none"/>
          <w:lang w:val="en-US" w:eastAsia="zh-CN"/>
        </w:rPr>
        <w:t>2</w:t>
      </w:r>
      <w:r>
        <w:rPr>
          <w:rFonts w:hint="eastAsia"/>
          <w:color w:val="auto"/>
          <w:highlight w:val="none"/>
        </w:rPr>
        <w:t>月结束。因此本项目的监测期为</w:t>
      </w:r>
      <w:r>
        <w:rPr>
          <w:rFonts w:hint="eastAsia"/>
          <w:color w:val="auto"/>
          <w:highlight w:val="none"/>
          <w:lang w:val="en-US" w:eastAsia="zh-CN"/>
        </w:rPr>
        <w:t>3</w:t>
      </w:r>
      <w:r>
        <w:rPr>
          <w:rFonts w:hint="eastAsia"/>
          <w:color w:val="auto"/>
          <w:highlight w:val="none"/>
        </w:rPr>
        <w:t>个月。</w:t>
      </w:r>
    </w:p>
    <w:p>
      <w:pPr>
        <w:ind w:firstLine="0" w:firstLineChars="0"/>
        <w:rPr>
          <w:rFonts w:hint="default" w:ascii="Times New Roman" w:hAnsi="宋体" w:eastAsia="宋体" w:cstheme="minorBidi"/>
          <w:b/>
          <w:bCs/>
          <w:color w:val="auto"/>
          <w:kern w:val="2"/>
          <w:sz w:val="24"/>
          <w:szCs w:val="24"/>
          <w:highlight w:val="none"/>
          <w:lang w:val="en-US" w:eastAsia="zh-CN" w:bidi="ar-SA"/>
        </w:rPr>
      </w:pPr>
      <w:r>
        <w:rPr>
          <w:rFonts w:ascii="Times New Roman" w:hAnsi="宋体" w:eastAsia="宋体" w:cstheme="minorBidi"/>
          <w:b/>
          <w:bCs/>
          <w:color w:val="auto"/>
          <w:kern w:val="2"/>
          <w:sz w:val="24"/>
          <w:szCs w:val="24"/>
          <w:highlight w:val="none"/>
          <w:lang w:val="en-US" w:eastAsia="zh-CN" w:bidi="ar-SA"/>
        </w:rPr>
        <w:t>表</w:t>
      </w:r>
      <w:r>
        <w:rPr>
          <w:rFonts w:hint="eastAsia" w:hAnsi="宋体" w:cstheme="minorBidi"/>
          <w:b/>
          <w:bCs/>
          <w:color w:val="auto"/>
          <w:kern w:val="2"/>
          <w:sz w:val="24"/>
          <w:szCs w:val="24"/>
          <w:highlight w:val="none"/>
          <w:lang w:val="en-US" w:eastAsia="zh-CN" w:bidi="ar-SA"/>
        </w:rPr>
        <w:t>2.2-1</w:t>
      </w:r>
      <w:r>
        <w:rPr>
          <w:rFonts w:ascii="Times New Roman" w:hAnsi="宋体" w:eastAsia="宋体" w:cstheme="minorBidi"/>
          <w:b/>
          <w:bCs/>
          <w:color w:val="auto"/>
          <w:kern w:val="2"/>
          <w:sz w:val="24"/>
          <w:szCs w:val="24"/>
          <w:highlight w:val="none"/>
          <w:lang w:val="en-US" w:eastAsia="zh-CN" w:bidi="ar-SA"/>
        </w:rPr>
        <w:t xml:space="preserve">                 </w:t>
      </w:r>
      <w:r>
        <w:rPr>
          <w:rFonts w:hint="eastAsia" w:hAnsi="宋体" w:cstheme="minorBidi"/>
          <w:b/>
          <w:bCs/>
          <w:color w:val="auto"/>
          <w:kern w:val="2"/>
          <w:sz w:val="24"/>
          <w:szCs w:val="24"/>
          <w:highlight w:val="none"/>
          <w:lang w:val="en-US" w:eastAsia="zh-CN" w:bidi="ar-SA"/>
        </w:rPr>
        <w:t>防治责任范围面积</w:t>
      </w:r>
      <w:r>
        <w:rPr>
          <w:rFonts w:ascii="Times New Roman" w:hAnsi="宋体" w:eastAsia="宋体" w:cstheme="minorBidi"/>
          <w:b/>
          <w:bCs/>
          <w:color w:val="auto"/>
          <w:kern w:val="2"/>
          <w:sz w:val="24"/>
          <w:szCs w:val="24"/>
          <w:highlight w:val="none"/>
          <w:lang w:val="en-US" w:eastAsia="zh-CN" w:bidi="ar-SA"/>
        </w:rPr>
        <w:t>表</w:t>
      </w:r>
      <w:r>
        <w:rPr>
          <w:rFonts w:hint="eastAsia" w:ascii="Times New Roman" w:hAnsi="宋体" w:eastAsia="宋体" w:cstheme="minorBidi"/>
          <w:b/>
          <w:bCs/>
          <w:color w:val="auto"/>
          <w:kern w:val="2"/>
          <w:sz w:val="24"/>
          <w:szCs w:val="24"/>
          <w:highlight w:val="none"/>
          <w:lang w:val="en-US" w:eastAsia="zh-CN" w:bidi="ar-SA"/>
        </w:rPr>
        <w:t xml:space="preserve">     单位：</w:t>
      </w:r>
      <w:r>
        <w:rPr>
          <w:rFonts w:hint="eastAsia"/>
          <w:color w:val="auto"/>
          <w:highlight w:val="none"/>
        </w:rPr>
        <w:t>hm</w:t>
      </w:r>
      <w:r>
        <w:rPr>
          <w:rFonts w:hint="eastAsia"/>
          <w:color w:val="auto"/>
          <w:highlight w:val="none"/>
          <w:vertAlign w:val="superscript"/>
        </w:rPr>
        <w:t>2</w:t>
      </w:r>
    </w:p>
    <w:tbl>
      <w:tblPr>
        <w:tblStyle w:val="2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7"/>
        <w:gridCol w:w="2591"/>
        <w:gridCol w:w="1563"/>
        <w:gridCol w:w="3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85" w:type="pct"/>
            <w:vMerge w:val="restart"/>
            <w:noWrap/>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1520"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预测单元</w:t>
            </w:r>
          </w:p>
        </w:tc>
        <w:tc>
          <w:tcPr>
            <w:tcW w:w="917" w:type="pct"/>
            <w:vMerge w:val="restar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合计</w:t>
            </w:r>
          </w:p>
        </w:tc>
        <w:tc>
          <w:tcPr>
            <w:tcW w:w="1777" w:type="pct"/>
            <w:vMerge w:val="restar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用地性质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785" w:type="pct"/>
            <w:vMerge w:val="continue"/>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p>
        </w:tc>
        <w:tc>
          <w:tcPr>
            <w:tcW w:w="1520"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一级分区</w:t>
            </w:r>
          </w:p>
        </w:tc>
        <w:tc>
          <w:tcPr>
            <w:tcW w:w="917" w:type="pct"/>
            <w:vMerge w:val="continue"/>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p>
        </w:tc>
        <w:tc>
          <w:tcPr>
            <w:tcW w:w="1777" w:type="pct"/>
            <w:vMerge w:val="continue"/>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85"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520"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地下停车场A</w:t>
            </w:r>
            <w:r>
              <w:rPr>
                <w:rFonts w:hint="eastAsia" w:ascii="仿宋" w:hAnsi="仿宋" w:eastAsia="仿宋" w:cs="仿宋"/>
                <w:color w:val="auto"/>
                <w:sz w:val="24"/>
                <w:szCs w:val="24"/>
                <w:highlight w:val="none"/>
              </w:rPr>
              <w:t>区</w:t>
            </w:r>
          </w:p>
        </w:tc>
        <w:tc>
          <w:tcPr>
            <w:tcW w:w="917" w:type="pct"/>
            <w:noWrap w:val="0"/>
            <w:vAlign w:val="center"/>
          </w:tcPr>
          <w:p>
            <w:pPr>
              <w:spacing w:line="240" w:lineRule="auto"/>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1.45</w:t>
            </w:r>
          </w:p>
        </w:tc>
        <w:tc>
          <w:tcPr>
            <w:tcW w:w="1777" w:type="pct"/>
            <w:vMerge w:val="restar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永久征地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85"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520"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地下停车场B</w:t>
            </w:r>
            <w:r>
              <w:rPr>
                <w:rFonts w:hint="eastAsia" w:ascii="仿宋" w:hAnsi="仿宋" w:eastAsia="仿宋" w:cs="仿宋"/>
                <w:color w:val="auto"/>
                <w:sz w:val="24"/>
                <w:szCs w:val="24"/>
                <w:highlight w:val="none"/>
              </w:rPr>
              <w:t>区</w:t>
            </w:r>
          </w:p>
        </w:tc>
        <w:tc>
          <w:tcPr>
            <w:tcW w:w="917" w:type="pct"/>
            <w:noWrap w:val="0"/>
            <w:vAlign w:val="center"/>
          </w:tcPr>
          <w:p>
            <w:pPr>
              <w:spacing w:line="240" w:lineRule="auto"/>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1.07</w:t>
            </w:r>
          </w:p>
        </w:tc>
        <w:tc>
          <w:tcPr>
            <w:tcW w:w="1777" w:type="pct"/>
            <w:vMerge w:val="continue"/>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85"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520"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地下停车场C</w:t>
            </w:r>
            <w:r>
              <w:rPr>
                <w:rFonts w:hint="eastAsia" w:ascii="仿宋" w:hAnsi="仿宋" w:eastAsia="仿宋" w:cs="仿宋"/>
                <w:color w:val="auto"/>
                <w:sz w:val="24"/>
                <w:szCs w:val="24"/>
                <w:highlight w:val="none"/>
              </w:rPr>
              <w:t>区</w:t>
            </w:r>
          </w:p>
        </w:tc>
        <w:tc>
          <w:tcPr>
            <w:tcW w:w="917" w:type="pct"/>
            <w:noWrap w:val="0"/>
            <w:vAlign w:val="center"/>
          </w:tcPr>
          <w:p>
            <w:pPr>
              <w:spacing w:line="240" w:lineRule="auto"/>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2.32</w:t>
            </w:r>
          </w:p>
        </w:tc>
        <w:tc>
          <w:tcPr>
            <w:tcW w:w="1777" w:type="pct"/>
            <w:vMerge w:val="continue"/>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85"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520" w:type="pct"/>
            <w:noWrap w:val="0"/>
            <w:vAlign w:val="center"/>
          </w:tcPr>
          <w:p>
            <w:pPr>
              <w:spacing w:line="240" w:lineRule="auto"/>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临时堆土区</w:t>
            </w:r>
          </w:p>
        </w:tc>
        <w:tc>
          <w:tcPr>
            <w:tcW w:w="917" w:type="pct"/>
            <w:noWrap w:val="0"/>
            <w:vAlign w:val="center"/>
          </w:tcPr>
          <w:p>
            <w:pPr>
              <w:spacing w:line="240" w:lineRule="auto"/>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3.25</w:t>
            </w:r>
          </w:p>
        </w:tc>
        <w:tc>
          <w:tcPr>
            <w:tcW w:w="1777" w:type="pct"/>
            <w:noWrap w:val="0"/>
            <w:vAlign w:val="center"/>
          </w:tcPr>
          <w:p>
            <w:pPr>
              <w:spacing w:line="240" w:lineRule="auto"/>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棚户区改造项目征地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85"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p>
        </w:tc>
        <w:tc>
          <w:tcPr>
            <w:tcW w:w="1520"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合计</w:t>
            </w:r>
          </w:p>
        </w:tc>
        <w:tc>
          <w:tcPr>
            <w:tcW w:w="917" w:type="pct"/>
            <w:noWrap w:val="0"/>
            <w:vAlign w:val="center"/>
          </w:tcPr>
          <w:p>
            <w:pPr>
              <w:spacing w:line="240" w:lineRule="auto"/>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8.</w:t>
            </w:r>
            <w:r>
              <w:rPr>
                <w:rFonts w:hint="eastAsia" w:ascii="仿宋" w:hAnsi="仿宋" w:eastAsia="仿宋" w:cs="仿宋"/>
                <w:color w:val="auto"/>
                <w:sz w:val="24"/>
                <w:szCs w:val="24"/>
                <w:highlight w:val="none"/>
                <w:lang w:val="en-US" w:eastAsia="zh-CN"/>
              </w:rPr>
              <w:t>09</w:t>
            </w:r>
          </w:p>
        </w:tc>
        <w:tc>
          <w:tcPr>
            <w:tcW w:w="1777" w:type="pct"/>
            <w:noWrap w:val="0"/>
            <w:vAlign w:val="center"/>
          </w:tcPr>
          <w:p>
            <w:pPr>
              <w:spacing w:line="240" w:lineRule="auto"/>
              <w:ind w:left="0" w:leftChars="0" w:firstLine="0" w:firstLineChars="0"/>
              <w:jc w:val="center"/>
              <w:rPr>
                <w:rFonts w:hint="eastAsia" w:ascii="仿宋" w:hAnsi="仿宋" w:eastAsia="仿宋" w:cs="仿宋"/>
                <w:color w:val="auto"/>
                <w:sz w:val="24"/>
                <w:szCs w:val="24"/>
                <w:highlight w:val="none"/>
              </w:rPr>
            </w:pPr>
          </w:p>
        </w:tc>
      </w:tr>
    </w:tbl>
    <w:p>
      <w:pPr>
        <w:keepNext w:val="0"/>
        <w:keepLines w:val="0"/>
        <w:pageBreakBefore w:val="0"/>
        <w:widowControl w:val="0"/>
        <w:kinsoku/>
        <w:wordWrap/>
        <w:overflowPunct/>
        <w:topLinePunct w:val="0"/>
        <w:autoSpaceDE/>
        <w:autoSpaceDN/>
        <w:bidi w:val="0"/>
        <w:adjustRightInd w:val="0"/>
        <w:snapToGrid w:val="0"/>
        <w:spacing w:before="157" w:beforeLines="50"/>
        <w:textAlignment w:val="auto"/>
        <w:rPr>
          <w:rFonts w:hint="default" w:ascii="Times New Roman" w:hAnsi="宋体"/>
          <w:color w:val="auto"/>
          <w:kern w:val="0"/>
          <w:szCs w:val="24"/>
          <w:highlight w:val="none"/>
          <w:lang w:val="en-US" w:eastAsia="zh-CN"/>
        </w:rPr>
      </w:pPr>
      <w:r>
        <w:rPr>
          <w:rFonts w:hint="default"/>
          <w:color w:val="auto"/>
          <w:highlight w:val="none"/>
          <w:lang w:val="en-US" w:eastAsia="zh-CN"/>
        </w:rPr>
        <w:t>根据开发建设项目监测有关技术规范，水土保持监测应在水土流失防治责任范围内进行，监测分区原则上与工程水土流失防治分区一致。根据本工程特点及水土流失防治分区结果，监测分区与工程水土流失防治分区基本一致。</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ascii="Times New Roman" w:hAnsi="Times New Roman" w:cs="Times New Roman"/>
          <w:b/>
          <w:bCs/>
          <w:color w:val="auto"/>
          <w:sz w:val="36"/>
          <w:szCs w:val="36"/>
          <w:highlight w:val="none"/>
          <w:lang w:val="en-US" w:eastAsia="zh-CN"/>
        </w:rPr>
      </w:pPr>
      <w:bookmarkStart w:id="75" w:name="_Toc4965"/>
      <w:r>
        <w:rPr>
          <w:rFonts w:hint="eastAsia" w:cs="Times New Roman"/>
          <w:b/>
          <w:bCs/>
          <w:color w:val="auto"/>
          <w:sz w:val="36"/>
          <w:szCs w:val="36"/>
          <w:highlight w:val="none"/>
          <w:lang w:val="en-US" w:eastAsia="zh-CN"/>
        </w:rPr>
        <w:t>2.3监测重点和监测布局</w:t>
      </w:r>
      <w:bookmarkEnd w:id="75"/>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2"/>
        <w:rPr>
          <w:rFonts w:hint="default" w:ascii="Times New Roman" w:hAnsi="Times New Roman" w:cs="Times New Roman"/>
          <w:b/>
          <w:bCs/>
          <w:color w:val="auto"/>
          <w:sz w:val="28"/>
          <w:szCs w:val="28"/>
          <w:highlight w:val="none"/>
          <w:vertAlign w:val="baseline"/>
          <w:lang w:val="en-US" w:eastAsia="zh-CN"/>
        </w:rPr>
      </w:pPr>
      <w:bookmarkStart w:id="76" w:name="_Toc24227"/>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3.1监测重点</w:t>
      </w:r>
      <w:bookmarkEnd w:id="76"/>
    </w:p>
    <w:p>
      <w:pPr>
        <w:bidi w:val="0"/>
        <w:rPr>
          <w:rFonts w:hint="default" w:ascii="Times New Roman" w:hAnsi="宋体"/>
          <w:color w:val="auto"/>
          <w:kern w:val="0"/>
          <w:szCs w:val="24"/>
          <w:highlight w:val="none"/>
          <w:lang w:val="en-US" w:eastAsia="zh-CN"/>
        </w:rPr>
      </w:pPr>
      <w:r>
        <w:rPr>
          <w:rFonts w:hint="default"/>
          <w:color w:val="auto"/>
          <w:highlight w:val="none"/>
          <w:lang w:val="en-US" w:eastAsia="zh-CN"/>
        </w:rPr>
        <w:t>本项目属于</w:t>
      </w:r>
      <w:r>
        <w:rPr>
          <w:rFonts w:hint="eastAsia"/>
          <w:color w:val="auto"/>
          <w:highlight w:val="none"/>
          <w:lang w:val="en-US" w:eastAsia="zh-CN"/>
        </w:rPr>
        <w:t>点状</w:t>
      </w:r>
      <w:r>
        <w:rPr>
          <w:rFonts w:hint="default"/>
          <w:color w:val="auto"/>
          <w:highlight w:val="none"/>
          <w:lang w:val="en-US" w:eastAsia="zh-CN"/>
        </w:rPr>
        <w:t>工程，根据《开发建设项目水土保持技术规范(GB50433-20</w:t>
      </w:r>
      <w:r>
        <w:rPr>
          <w:rFonts w:hint="eastAsia"/>
          <w:color w:val="auto"/>
          <w:highlight w:val="none"/>
          <w:lang w:val="en-US" w:eastAsia="zh-CN"/>
        </w:rPr>
        <w:t>1</w:t>
      </w:r>
      <w:r>
        <w:rPr>
          <w:rFonts w:hint="default"/>
          <w:color w:val="auto"/>
          <w:highlight w:val="none"/>
          <w:lang w:val="en-US" w:eastAsia="zh-CN"/>
        </w:rPr>
        <w:t>8)和水土流失预测结果，本项目监测的重点区域为</w:t>
      </w:r>
      <w:r>
        <w:rPr>
          <w:rFonts w:hint="eastAsia"/>
          <w:color w:val="auto"/>
          <w:highlight w:val="none"/>
          <w:lang w:val="en-US" w:eastAsia="zh-CN"/>
        </w:rPr>
        <w:t>地下停车场A</w:t>
      </w:r>
      <w:r>
        <w:rPr>
          <w:rFonts w:hint="eastAsia"/>
          <w:color w:val="auto"/>
          <w:highlight w:val="none"/>
        </w:rPr>
        <w:t>区、</w:t>
      </w:r>
      <w:r>
        <w:rPr>
          <w:rFonts w:hint="eastAsia"/>
          <w:color w:val="auto"/>
          <w:highlight w:val="none"/>
          <w:lang w:val="en-US" w:eastAsia="zh-CN"/>
        </w:rPr>
        <w:t>地下停车场B</w:t>
      </w:r>
      <w:r>
        <w:rPr>
          <w:rFonts w:hint="eastAsia"/>
          <w:color w:val="auto"/>
          <w:highlight w:val="none"/>
        </w:rPr>
        <w:t>区、</w:t>
      </w:r>
      <w:r>
        <w:rPr>
          <w:rFonts w:hint="eastAsia"/>
          <w:color w:val="auto"/>
          <w:highlight w:val="none"/>
          <w:lang w:val="en-US" w:eastAsia="zh-CN"/>
        </w:rPr>
        <w:t>地下停车场C</w:t>
      </w:r>
      <w:r>
        <w:rPr>
          <w:rFonts w:hint="eastAsia"/>
          <w:color w:val="auto"/>
          <w:highlight w:val="none"/>
        </w:rPr>
        <w:t>区</w:t>
      </w:r>
      <w:r>
        <w:rPr>
          <w:rFonts w:hint="eastAsia"/>
          <w:color w:val="auto"/>
          <w:highlight w:val="none"/>
          <w:lang w:eastAsia="zh-CN"/>
        </w:rPr>
        <w:t>、</w:t>
      </w:r>
      <w:r>
        <w:rPr>
          <w:rFonts w:hint="eastAsia"/>
          <w:color w:val="auto"/>
          <w:highlight w:val="none"/>
          <w:lang w:val="en-US" w:eastAsia="zh-CN"/>
        </w:rPr>
        <w:t>临时堆土区</w:t>
      </w:r>
      <w:r>
        <w:rPr>
          <w:rFonts w:hint="default"/>
          <w:color w:val="auto"/>
          <w:highlight w:val="none"/>
          <w:lang w:val="en-US" w:eastAsia="zh-CN"/>
        </w:rPr>
        <w:t>。监测重点时段为工程施工期间，主要为土方开挖及回填时段。</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2"/>
        <w:rPr>
          <w:rFonts w:hint="default" w:ascii="Times New Roman" w:hAnsi="Times New Roman" w:cs="Times New Roman"/>
          <w:b/>
          <w:bCs/>
          <w:color w:val="auto"/>
          <w:sz w:val="28"/>
          <w:szCs w:val="28"/>
          <w:highlight w:val="none"/>
          <w:vertAlign w:val="baseline"/>
          <w:lang w:val="en-US" w:eastAsia="zh-CN"/>
        </w:rPr>
      </w:pPr>
      <w:bookmarkStart w:id="77" w:name="_Toc10091"/>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3.2监测布局</w:t>
      </w:r>
      <w:bookmarkEnd w:id="77"/>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1、布局原则</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(1)根据水土流失预测结果和水土保持防治措施总体布局，确定监测的重点区域，布设监测点。</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(2)全面监测与重点监测相结合。</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(3)定点监测与调查巡查相接合。</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(4)以地表扰动动态监测及不同扰动类型侵蚀强度监测为中心。</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ascii="Times New Roman" w:hAnsi="Times New Roman" w:cs="Times New Roman"/>
          <w:b/>
          <w:bCs/>
          <w:color w:val="auto"/>
          <w:sz w:val="36"/>
          <w:szCs w:val="36"/>
          <w:highlight w:val="none"/>
          <w:lang w:val="en-US" w:eastAsia="zh-CN"/>
        </w:rPr>
      </w:pPr>
      <w:bookmarkStart w:id="78" w:name="_Toc31931"/>
      <w:r>
        <w:rPr>
          <w:rFonts w:hint="eastAsia" w:cs="Times New Roman"/>
          <w:b/>
          <w:bCs/>
          <w:color w:val="auto"/>
          <w:sz w:val="36"/>
          <w:szCs w:val="36"/>
          <w:highlight w:val="none"/>
          <w:lang w:val="en-US" w:eastAsia="zh-CN"/>
        </w:rPr>
        <w:t>2.4监测时段和工作进度</w:t>
      </w:r>
      <w:bookmarkEnd w:id="78"/>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2"/>
        <w:rPr>
          <w:rFonts w:hint="default" w:ascii="Times New Roman" w:hAnsi="Times New Roman" w:cs="Times New Roman"/>
          <w:b/>
          <w:bCs/>
          <w:color w:val="auto"/>
          <w:sz w:val="28"/>
          <w:szCs w:val="28"/>
          <w:highlight w:val="none"/>
          <w:vertAlign w:val="baseline"/>
          <w:lang w:val="en-US" w:eastAsia="zh-CN"/>
        </w:rPr>
      </w:pPr>
      <w:bookmarkStart w:id="79" w:name="_Toc8255"/>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4.1监测时段</w:t>
      </w:r>
      <w:bookmarkEnd w:id="79"/>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本项目属于建设类项目，水土保持监测时段从施工准备期开始至设计水平年结束。本项目目前</w:t>
      </w:r>
      <w:r>
        <w:rPr>
          <w:rFonts w:hint="eastAsia" w:ascii="Times New Roman" w:hAnsi="宋体"/>
          <w:color w:val="auto"/>
          <w:kern w:val="0"/>
          <w:sz w:val="24"/>
          <w:szCs w:val="24"/>
          <w:highlight w:val="none"/>
          <w:lang w:val="en-US" w:eastAsia="zh-CN"/>
        </w:rPr>
        <w:t>A、B区已竣工，C区尚未开工。</w:t>
      </w:r>
      <w:r>
        <w:rPr>
          <w:rFonts w:hint="default" w:ascii="Times New Roman" w:hAnsi="宋体"/>
          <w:color w:val="auto"/>
          <w:kern w:val="0"/>
          <w:sz w:val="24"/>
          <w:szCs w:val="24"/>
          <w:highlight w:val="none"/>
          <w:lang w:val="en-US" w:eastAsia="zh-CN"/>
        </w:rPr>
        <w:t>监测期从接受委托时间开始</w:t>
      </w:r>
      <w:r>
        <w:rPr>
          <w:rFonts w:hint="eastAsia" w:hAnsi="宋体"/>
          <w:color w:val="auto"/>
          <w:kern w:val="0"/>
          <w:sz w:val="24"/>
          <w:szCs w:val="24"/>
          <w:highlight w:val="none"/>
          <w:lang w:val="en-US" w:eastAsia="zh-CN"/>
        </w:rPr>
        <w:t>（2021年10月至2021年12月，监测3个月）。</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2"/>
        <w:rPr>
          <w:rFonts w:hint="default" w:ascii="Times New Roman" w:hAnsi="Times New Roman" w:cs="Times New Roman"/>
          <w:b/>
          <w:bCs/>
          <w:color w:val="auto"/>
          <w:sz w:val="28"/>
          <w:szCs w:val="28"/>
          <w:highlight w:val="none"/>
          <w:vertAlign w:val="baseline"/>
          <w:lang w:val="en-US" w:eastAsia="zh-CN"/>
        </w:rPr>
      </w:pPr>
      <w:bookmarkStart w:id="80" w:name="_Toc29708"/>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4.1工作进度</w:t>
      </w:r>
      <w:bookmarkEnd w:id="80"/>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本项目水土保持监测工作流程为：接受任务 → 资料收集 → 前期调查 → 内业整理 → 监测实施方案编制 → 实地监测 → 提交监测季度报告表 → 成果整理与分析 → 提交建设期年度监测报告 → 提交运行初期监测报告 → 水土保持监测总结报告 → 配合水土保持措施专项验收。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各阶段具体内容如下：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前期准备工作：收集项目的设计资料、现场监理资料等，现场初步调查，根据相关技术标准和水保方案编写项目水保监测实施方案，补充项目前期监测季报，组织项目监测小组并进场。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实地监测：全面开展监测工作，并及时向建设单位提出水土保持监测意见和建议。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编写季报：根据现场监测的情况编写水土保持监测季报，每季度一次。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编写年报：根据现场监测情况以及监测季报编写水土保持监测年报，每年一次。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总结报告：在项目自然恢复期即将结束阶段，根据现场监测情况，对水保效果实施情况进行分析评价，编写水土保持监测总结报告。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水保验收：对项目水保措施专项工程进行验收。</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sectPr>
          <w:pgSz w:w="11906" w:h="16838"/>
          <w:pgMar w:top="1440" w:right="1800" w:bottom="1440" w:left="1800" w:header="851" w:footer="992" w:gutter="0"/>
          <w:pgNumType w:fmt="decimal"/>
          <w:cols w:space="425" w:num="1"/>
          <w:docGrid w:type="lines" w:linePitch="312" w:charSpace="0"/>
        </w:sectPr>
      </w:pPr>
    </w:p>
    <w:p>
      <w:pPr>
        <w:ind w:left="0" w:leftChars="0" w:firstLine="0" w:firstLineChars="0"/>
        <w:jc w:val="center"/>
        <w:outlineLvl w:val="0"/>
        <w:rPr>
          <w:rFonts w:hint="default" w:ascii="Times New Roman" w:hAnsi="Times New Roman" w:eastAsia="黑体" w:cs="Times New Roman"/>
          <w:b/>
          <w:bCs/>
          <w:color w:val="auto"/>
          <w:sz w:val="44"/>
          <w:szCs w:val="44"/>
          <w:highlight w:val="none"/>
          <w:lang w:val="en-US" w:eastAsia="zh-CN"/>
        </w:rPr>
      </w:pPr>
      <w:bookmarkStart w:id="81" w:name="_Toc907"/>
      <w:r>
        <w:rPr>
          <w:rFonts w:hint="eastAsia" w:eastAsia="黑体" w:cs="Times New Roman"/>
          <w:b/>
          <w:bCs/>
          <w:color w:val="auto"/>
          <w:sz w:val="44"/>
          <w:szCs w:val="44"/>
          <w:highlight w:val="none"/>
          <w:lang w:val="en-US" w:eastAsia="zh-CN"/>
        </w:rPr>
        <w:t>3</w:t>
      </w:r>
      <w:r>
        <w:rPr>
          <w:rFonts w:hint="eastAsia" w:eastAsia="黑体" w:cs="Times New Roman"/>
          <w:b w:val="0"/>
          <w:bCs w:val="0"/>
          <w:color w:val="auto"/>
          <w:sz w:val="44"/>
          <w:szCs w:val="44"/>
          <w:highlight w:val="none"/>
          <w:lang w:val="en-US" w:eastAsia="zh-CN"/>
        </w:rPr>
        <w:t>监测内容和方法</w:t>
      </w:r>
      <w:bookmarkEnd w:id="81"/>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依据本项目已审批的水土保持方案中确定的监测内容，主要包括水土流失影响因子监测、水土流失状况监测、水土流失危害监测、水土保持措施及防护效果监测四部分。根据《水土保持监测技术规程》（SL277-2015）、《开发建设项目水土保持技术规范》（GB50433-2008）以及《衡阳市影剧艺术中心建设项目水土保持方案报告书》确定本项目的监测内容和具体监测指标。</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eastAsia" w:cs="Times New Roman"/>
          <w:b/>
          <w:bCs/>
          <w:color w:val="auto"/>
          <w:sz w:val="36"/>
          <w:szCs w:val="36"/>
          <w:highlight w:val="none"/>
          <w:lang w:val="en-US" w:eastAsia="zh-CN"/>
        </w:rPr>
      </w:pPr>
      <w:bookmarkStart w:id="82" w:name="_Toc8845"/>
      <w:r>
        <w:rPr>
          <w:rFonts w:hint="eastAsia" w:cs="Times New Roman"/>
          <w:b/>
          <w:bCs/>
          <w:color w:val="auto"/>
          <w:sz w:val="36"/>
          <w:szCs w:val="36"/>
          <w:highlight w:val="none"/>
          <w:lang w:val="en-US" w:eastAsia="zh-CN"/>
        </w:rPr>
        <w:t>3.1施工准备期</w:t>
      </w:r>
      <w:bookmarkEnd w:id="82"/>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eastAsia" w:ascii="Times New Roman" w:hAnsi="宋体"/>
          <w:color w:val="auto"/>
          <w:kern w:val="0"/>
          <w:sz w:val="24"/>
          <w:szCs w:val="24"/>
          <w:highlight w:val="none"/>
          <w:lang w:val="en-US" w:eastAsia="zh-CN"/>
        </w:rPr>
      </w:pPr>
      <w:r>
        <w:rPr>
          <w:rFonts w:hint="eastAsia" w:ascii="Times New Roman" w:hAnsi="宋体"/>
          <w:color w:val="auto"/>
          <w:kern w:val="0"/>
          <w:sz w:val="24"/>
          <w:szCs w:val="24"/>
          <w:highlight w:val="none"/>
          <w:lang w:val="en-US" w:eastAsia="zh-CN"/>
        </w:rPr>
        <w:t>因建设单位委托水土保持监测工作时，项目区已开始施工，施工准备工作基本已完成，施工准备期已过，防治责任范围内的地形地貌、地面组成物质、水文气象、土壤植被、土地利用现状、水土流失状况等基本信息主要通过项目区周边未扰动区域情况调查，结合原水土保持方案，并根据现场情况，可在周边设置个背景值监测点，掌握项目建设前生态环境本底状况和进行施工对照。</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eastAsia" w:cs="Times New Roman"/>
          <w:b/>
          <w:bCs/>
          <w:color w:val="auto"/>
          <w:sz w:val="36"/>
          <w:szCs w:val="36"/>
          <w:highlight w:val="none"/>
          <w:lang w:val="en-US" w:eastAsia="zh-CN"/>
        </w:rPr>
      </w:pPr>
      <w:bookmarkStart w:id="83" w:name="_Toc21114"/>
      <w:r>
        <w:rPr>
          <w:rFonts w:hint="eastAsia" w:cs="Times New Roman"/>
          <w:b/>
          <w:bCs/>
          <w:color w:val="auto"/>
          <w:sz w:val="36"/>
          <w:szCs w:val="36"/>
          <w:highlight w:val="none"/>
          <w:lang w:val="en-US" w:eastAsia="zh-CN"/>
        </w:rPr>
        <w:t>3.2工程建设期</w:t>
      </w:r>
      <w:bookmarkEnd w:id="83"/>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84" w:name="_Toc31623"/>
      <w:r>
        <w:rPr>
          <w:rFonts w:hint="eastAsia" w:cs="Times New Roman"/>
          <w:b/>
          <w:bCs/>
          <w:color w:val="auto"/>
          <w:sz w:val="28"/>
          <w:szCs w:val="28"/>
          <w:highlight w:val="none"/>
          <w:vertAlign w:val="baseline"/>
          <w:lang w:val="en-US" w:eastAsia="zh-CN"/>
        </w:rPr>
        <w:t>3</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.1</w:t>
      </w:r>
      <w:r>
        <w:rPr>
          <w:rFonts w:hint="eastAsia" w:cs="Times New Roman"/>
          <w:b/>
          <w:bCs/>
          <w:color w:val="auto"/>
          <w:sz w:val="28"/>
          <w:szCs w:val="28"/>
          <w:highlight w:val="none"/>
          <w:vertAlign w:val="baseline"/>
          <w:lang w:val="en-US" w:eastAsia="zh-CN"/>
        </w:rPr>
        <w:t>水土流失影响因子</w:t>
      </w:r>
      <w:bookmarkEnd w:id="84"/>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w:t>
      </w:r>
      <w:r>
        <w:rPr>
          <w:rFonts w:hint="default" w:ascii="Times New Roman" w:hAnsi="宋体" w:eastAsia="宋体" w:cstheme="minorBidi"/>
          <w:color w:val="auto"/>
          <w:kern w:val="0"/>
          <w:sz w:val="24"/>
          <w:szCs w:val="24"/>
          <w:highlight w:val="none"/>
          <w:lang w:val="en-US" w:eastAsia="zh-CN" w:bidi="ar-SA"/>
        </w:rPr>
        <w:t xml:space="preserve">1）气象：监测指标为降水量、汛期雨量。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①</w:t>
      </w:r>
      <w:r>
        <w:rPr>
          <w:rFonts w:hint="default" w:ascii="Times New Roman" w:hAnsi="宋体" w:eastAsia="宋体" w:cstheme="minorBidi"/>
          <w:color w:val="auto"/>
          <w:kern w:val="0"/>
          <w:sz w:val="24"/>
          <w:szCs w:val="24"/>
          <w:highlight w:val="none"/>
          <w:lang w:val="en-US" w:eastAsia="zh-CN" w:bidi="ar-SA"/>
        </w:rPr>
        <w:t xml:space="preserve">降水量：监测日、月、年降水量。项目所在区雨季主要集中在 4~9月，6、7、8月份最为突出。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②</w:t>
      </w:r>
      <w:r>
        <w:rPr>
          <w:rFonts w:hint="default" w:ascii="Times New Roman" w:hAnsi="宋体" w:eastAsia="宋体" w:cstheme="minorBidi"/>
          <w:color w:val="auto"/>
          <w:kern w:val="0"/>
          <w:sz w:val="24"/>
          <w:szCs w:val="24"/>
          <w:highlight w:val="none"/>
          <w:lang w:val="en-US" w:eastAsia="zh-CN" w:bidi="ar-SA"/>
        </w:rPr>
        <w:t xml:space="preserve">汛期雨量：监测洪汛期日降水量。武汉市汛期是每年6月至8 月。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default" w:ascii="Times New Roman" w:hAnsi="宋体" w:eastAsia="宋体" w:cstheme="minorBidi"/>
          <w:color w:val="auto"/>
          <w:kern w:val="0"/>
          <w:sz w:val="24"/>
          <w:szCs w:val="24"/>
          <w:highlight w:val="none"/>
          <w:lang w:val="en-US" w:eastAsia="zh-CN" w:bidi="ar-SA"/>
        </w:rPr>
        <w:t xml:space="preserve">（2）地形地貌：监测指标为地貌类型、高程、坡度组成。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①</w:t>
      </w:r>
      <w:r>
        <w:rPr>
          <w:rFonts w:hint="default" w:ascii="Times New Roman" w:hAnsi="宋体" w:eastAsia="宋体" w:cstheme="minorBidi"/>
          <w:color w:val="auto"/>
          <w:kern w:val="0"/>
          <w:sz w:val="24"/>
          <w:szCs w:val="24"/>
          <w:highlight w:val="none"/>
          <w:lang w:val="en-US" w:eastAsia="zh-CN" w:bidi="ar-SA"/>
        </w:rPr>
        <w:t xml:space="preserve">地貌类型：监测项目区域地形特征和地貌类型。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②</w:t>
      </w:r>
      <w:r>
        <w:rPr>
          <w:rFonts w:hint="default" w:ascii="Times New Roman" w:hAnsi="宋体" w:eastAsia="宋体" w:cstheme="minorBidi"/>
          <w:color w:val="auto"/>
          <w:kern w:val="0"/>
          <w:sz w:val="24"/>
          <w:szCs w:val="24"/>
          <w:highlight w:val="none"/>
          <w:lang w:val="en-US" w:eastAsia="zh-CN" w:bidi="ar-SA"/>
        </w:rPr>
        <w:t>高程：监测项目区最高点和最低点海拔，确定项目区相对高差。</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③</w:t>
      </w:r>
      <w:r>
        <w:rPr>
          <w:rFonts w:hint="default" w:ascii="Times New Roman" w:hAnsi="宋体" w:eastAsia="宋体" w:cstheme="minorBidi"/>
          <w:color w:val="auto"/>
          <w:kern w:val="0"/>
          <w:sz w:val="24"/>
          <w:szCs w:val="24"/>
          <w:highlight w:val="none"/>
          <w:lang w:val="en-US" w:eastAsia="zh-CN" w:bidi="ar-SA"/>
        </w:rPr>
        <w:t xml:space="preserve">坡度：监测各防治分区地面坡度，确定范围值。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default" w:ascii="Times New Roman" w:hAnsi="宋体" w:eastAsia="宋体" w:cstheme="minorBidi"/>
          <w:color w:val="auto"/>
          <w:kern w:val="0"/>
          <w:sz w:val="24"/>
          <w:szCs w:val="24"/>
          <w:highlight w:val="none"/>
          <w:lang w:val="en-US" w:eastAsia="zh-CN" w:bidi="ar-SA"/>
        </w:rPr>
        <w:t xml:space="preserve">（3）地表组成物质。监测指标为地表物质组分及其构成，土壤应为土壤类型、质地、容重、土层厚度。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①</w:t>
      </w:r>
      <w:r>
        <w:rPr>
          <w:rFonts w:hint="default" w:ascii="Times New Roman" w:hAnsi="宋体" w:eastAsia="宋体" w:cstheme="minorBidi"/>
          <w:color w:val="auto"/>
          <w:kern w:val="0"/>
          <w:sz w:val="24"/>
          <w:szCs w:val="24"/>
          <w:highlight w:val="none"/>
          <w:lang w:val="en-US" w:eastAsia="zh-CN" w:bidi="ar-SA"/>
        </w:rPr>
        <w:t xml:space="preserve">地表物质组成：监测项目区地表成土母质、岩石、沙地分布。 成土母质可用母质类型标示。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②</w:t>
      </w:r>
      <w:r>
        <w:rPr>
          <w:rFonts w:hint="default" w:ascii="Times New Roman" w:hAnsi="宋体" w:eastAsia="宋体" w:cstheme="minorBidi"/>
          <w:color w:val="auto"/>
          <w:kern w:val="0"/>
          <w:sz w:val="24"/>
          <w:szCs w:val="24"/>
          <w:highlight w:val="none"/>
          <w:lang w:val="en-US" w:eastAsia="zh-CN" w:bidi="ar-SA"/>
        </w:rPr>
        <w:t xml:space="preserve">土壤：监测项目区土壤类型、土壤质地、土壤容重和土层厚度。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default" w:ascii="Times New Roman" w:hAnsi="宋体" w:eastAsia="宋体" w:cstheme="minorBidi"/>
          <w:color w:val="auto"/>
          <w:kern w:val="0"/>
          <w:sz w:val="24"/>
          <w:szCs w:val="24"/>
          <w:highlight w:val="none"/>
          <w:lang w:val="en-US" w:eastAsia="zh-CN" w:bidi="ar-SA"/>
        </w:rPr>
        <w:t xml:space="preserve">（4）植被。植物群落结构、林地郁闭度、林草覆盖率。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①</w:t>
      </w:r>
      <w:r>
        <w:rPr>
          <w:rFonts w:hint="default" w:ascii="Times New Roman" w:hAnsi="宋体" w:eastAsia="宋体" w:cstheme="minorBidi"/>
          <w:color w:val="auto"/>
          <w:kern w:val="0"/>
          <w:sz w:val="24"/>
          <w:szCs w:val="24"/>
          <w:highlight w:val="none"/>
          <w:lang w:val="en-US" w:eastAsia="zh-CN" w:bidi="ar-SA"/>
        </w:rPr>
        <w:t xml:space="preserve">植被群落结构：监测并测定植物种类以及乔、灌、草比例。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②</w:t>
      </w:r>
      <w:r>
        <w:rPr>
          <w:rFonts w:hint="default" w:ascii="Times New Roman" w:hAnsi="宋体" w:eastAsia="宋体" w:cstheme="minorBidi"/>
          <w:color w:val="auto"/>
          <w:kern w:val="0"/>
          <w:sz w:val="24"/>
          <w:szCs w:val="24"/>
          <w:highlight w:val="none"/>
          <w:lang w:val="en-US" w:eastAsia="zh-CN" w:bidi="ar-SA"/>
        </w:rPr>
        <w:t xml:space="preserve">林草覆盖度：监测乔灌草综合植被盖度，反映植被的茂密程度。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③</w:t>
      </w:r>
      <w:r>
        <w:rPr>
          <w:rFonts w:hint="default" w:ascii="Times New Roman" w:hAnsi="宋体" w:eastAsia="宋体" w:cstheme="minorBidi"/>
          <w:color w:val="auto"/>
          <w:kern w:val="0"/>
          <w:sz w:val="24"/>
          <w:szCs w:val="24"/>
          <w:highlight w:val="none"/>
          <w:lang w:val="en-US" w:eastAsia="zh-CN" w:bidi="ar-SA"/>
        </w:rPr>
        <w:t xml:space="preserve">林地郁闭度：监测乔木树冠遮蔽地面的程度，反映乔木林密度。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default" w:ascii="Times New Roman" w:hAnsi="宋体" w:eastAsia="宋体" w:cstheme="minorBidi"/>
          <w:color w:val="auto"/>
          <w:kern w:val="0"/>
          <w:sz w:val="24"/>
          <w:szCs w:val="24"/>
          <w:highlight w:val="none"/>
          <w:lang w:val="en-US" w:eastAsia="zh-CN" w:bidi="ar-SA"/>
        </w:rPr>
        <w:t xml:space="preserve">（5）水土流失防治责任范围。监测指标包括：征占地情况、防治责任范围变化情况。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①</w:t>
      </w:r>
      <w:r>
        <w:rPr>
          <w:rFonts w:hint="default" w:ascii="Times New Roman" w:hAnsi="宋体" w:eastAsia="宋体" w:cstheme="minorBidi"/>
          <w:color w:val="auto"/>
          <w:kern w:val="0"/>
          <w:sz w:val="24"/>
          <w:szCs w:val="24"/>
          <w:highlight w:val="none"/>
          <w:lang w:val="en-US" w:eastAsia="zh-CN" w:bidi="ar-SA"/>
        </w:rPr>
        <w:t xml:space="preserve">征占地情况：监测各分区征地面积、征地类型、征地性质。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eastAsia" w:ascii="Times New Roman" w:hAnsi="宋体" w:eastAsia="宋体" w:cstheme="minorBidi"/>
          <w:color w:val="auto"/>
          <w:kern w:val="0"/>
          <w:sz w:val="24"/>
          <w:szCs w:val="24"/>
          <w:highlight w:val="none"/>
          <w:lang w:val="en-US" w:eastAsia="zh-CN" w:bidi="ar-SA"/>
        </w:rPr>
        <w:t>②</w:t>
      </w:r>
      <w:r>
        <w:rPr>
          <w:rFonts w:hint="default" w:ascii="Times New Roman" w:hAnsi="宋体" w:eastAsia="宋体" w:cstheme="minorBidi"/>
          <w:color w:val="auto"/>
          <w:kern w:val="0"/>
          <w:sz w:val="24"/>
          <w:szCs w:val="24"/>
          <w:highlight w:val="none"/>
          <w:lang w:val="en-US" w:eastAsia="zh-CN" w:bidi="ar-SA"/>
        </w:rPr>
        <w:t xml:space="preserve">防治责任范围：监测项目建设区（含永久占地、临时占地）和 直接影响区面积、占地类型。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default" w:ascii="Times New Roman" w:hAnsi="宋体" w:eastAsia="宋体" w:cstheme="minorBidi"/>
          <w:color w:val="auto"/>
          <w:kern w:val="0"/>
          <w:sz w:val="24"/>
          <w:szCs w:val="24"/>
          <w:highlight w:val="none"/>
          <w:lang w:val="en-US" w:eastAsia="zh-CN" w:bidi="ar-SA"/>
        </w:rPr>
        <w:t xml:space="preserve">（6）地表扰动情况。监测指标包括扰动地表类型、面积等。主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default" w:ascii="Times New Roman" w:hAnsi="宋体" w:eastAsia="宋体" w:cstheme="minorBidi"/>
          <w:color w:val="auto"/>
          <w:kern w:val="0"/>
          <w:sz w:val="24"/>
          <w:szCs w:val="24"/>
          <w:highlight w:val="none"/>
          <w:lang w:val="en-US" w:eastAsia="zh-CN" w:bidi="ar-SA"/>
        </w:rPr>
        <w:t xml:space="preserve">要监测主体工程对原地貌、植被、河道、水土保持设施等的扰动面积。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default" w:ascii="Times New Roman" w:hAnsi="宋体" w:eastAsia="宋体" w:cstheme="minorBidi"/>
          <w:color w:val="auto"/>
          <w:kern w:val="0"/>
          <w:sz w:val="24"/>
          <w:szCs w:val="24"/>
          <w:highlight w:val="none"/>
          <w:lang w:val="en-US" w:eastAsia="zh-CN" w:bidi="ar-SA"/>
        </w:rPr>
        <w:t xml:space="preserve">（7）土石方。监测指标包括挖填方式、位置、方量、土方转运方式。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default" w:ascii="Times New Roman" w:hAnsi="宋体" w:eastAsia="宋体" w:cstheme="minorBidi"/>
          <w:color w:val="auto"/>
          <w:kern w:val="0"/>
          <w:sz w:val="24"/>
          <w:szCs w:val="24"/>
          <w:highlight w:val="none"/>
          <w:lang w:val="en-US" w:eastAsia="zh-CN" w:bidi="ar-SA"/>
        </w:rPr>
        <w:t xml:space="preserve">（8）弃土弃渣。监测指标包括弃土（渣）的占地面积及方量。主要监测弃土弃渣弃置方式、位置、堆置面积、方量。 </w:t>
      </w:r>
    </w:p>
    <w:p>
      <w:pPr>
        <w:keepNext w:val="0"/>
        <w:keepLines w:val="0"/>
        <w:widowControl/>
        <w:suppressLineNumbers w:val="0"/>
        <w:jc w:val="left"/>
        <w:rPr>
          <w:rFonts w:hint="eastAsia" w:ascii="Times New Roman" w:hAnsi="宋体" w:eastAsia="宋体" w:cstheme="minorBidi"/>
          <w:color w:val="auto"/>
          <w:kern w:val="0"/>
          <w:sz w:val="24"/>
          <w:szCs w:val="24"/>
          <w:highlight w:val="none"/>
          <w:lang w:val="en-US" w:eastAsia="zh-CN" w:bidi="ar-SA"/>
        </w:rPr>
      </w:pPr>
      <w:r>
        <w:rPr>
          <w:rFonts w:hint="default" w:ascii="Times New Roman" w:hAnsi="宋体" w:eastAsia="宋体" w:cstheme="minorBidi"/>
          <w:color w:val="auto"/>
          <w:kern w:val="0"/>
          <w:sz w:val="24"/>
          <w:szCs w:val="24"/>
          <w:highlight w:val="none"/>
          <w:lang w:val="en-US" w:eastAsia="zh-CN" w:bidi="ar-SA"/>
        </w:rPr>
        <w:t>（9）取土取料。监测指标包括取土（料）的扰动地表面积及开采量。主要监测取土取料扰动方式、扰动地表面积、开采量、转运方式。</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85" w:name="_Toc30421"/>
      <w:r>
        <w:rPr>
          <w:rFonts w:hint="eastAsia" w:cs="Times New Roman"/>
          <w:b/>
          <w:bCs/>
          <w:color w:val="auto"/>
          <w:sz w:val="28"/>
          <w:szCs w:val="28"/>
          <w:highlight w:val="none"/>
          <w:vertAlign w:val="baseline"/>
          <w:lang w:val="en-US" w:eastAsia="zh-CN"/>
        </w:rPr>
        <w:t>3</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2水土流失状况</w:t>
      </w:r>
      <w:bookmarkEnd w:id="85"/>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1）水土流失类型。水土保持监测范围内水土流失类型、形式及分布情况。主要监测项目区水土流失产生的原因，并确定水土流失类型、形式以及分布区域。随州市曾都区的开发建设项目的水土流失类型主要为水力侵蚀。水力侵蚀主要对面蚀、沟蚀等进行调查或观测；风力侵蚀主要关注风蚀量与风蚀遗留下来的地面组成物质形态。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（2）水土流失面积。监测指标为水土保持监测范围内轻度以上土壤侵蚀面积。项目区扰动前地表基本为轻度土壤侵蚀，此项指标主要监测扰动地表造成的水土流失面积。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（3）土壤侵蚀强度。监测指标为各监测分区的土壤侵蚀强度。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（4）水土流失量。监测指标为监测分区典型地段或重点部位的水土流失量。主要监测各防治分区因水蚀</w:t>
      </w:r>
      <w:r>
        <w:rPr>
          <w:rFonts w:hint="eastAsia" w:hAnsi="宋体"/>
          <w:color w:val="auto"/>
          <w:kern w:val="0"/>
          <w:sz w:val="24"/>
          <w:szCs w:val="24"/>
          <w:highlight w:val="none"/>
          <w:lang w:val="en-US" w:eastAsia="zh-CN"/>
        </w:rPr>
        <w:t>、</w:t>
      </w:r>
      <w:r>
        <w:rPr>
          <w:rFonts w:hint="default" w:ascii="Times New Roman" w:hAnsi="宋体"/>
          <w:color w:val="auto"/>
          <w:kern w:val="0"/>
          <w:sz w:val="24"/>
          <w:szCs w:val="24"/>
          <w:highlight w:val="none"/>
          <w:lang w:val="en-US" w:eastAsia="zh-CN"/>
        </w:rPr>
        <w:t>风蚀造成的水土流失量。主要采用定点定位监测，拟采用实地调查法、样方调查法、简易坡面观测场、沉沙池法几种方法相结合。</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86" w:name="_Toc32442"/>
      <w:r>
        <w:rPr>
          <w:rFonts w:hint="eastAsia" w:cs="Times New Roman"/>
          <w:b/>
          <w:bCs/>
          <w:color w:val="auto"/>
          <w:sz w:val="28"/>
          <w:szCs w:val="28"/>
          <w:highlight w:val="none"/>
          <w:vertAlign w:val="baseline"/>
          <w:lang w:val="en-US" w:eastAsia="zh-CN"/>
        </w:rPr>
        <w:t>3</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3水土流失危害</w:t>
      </w:r>
      <w:bookmarkEnd w:id="86"/>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（1）施工对地表植被的破坏造成水土保持设施的破坏，对周围生态环境造成危害，本工程损坏水土保持设施面积为</w:t>
      </w:r>
      <w:r>
        <w:rPr>
          <w:rFonts w:hint="eastAsia" w:hAnsi="宋体"/>
          <w:color w:val="auto"/>
          <w:kern w:val="0"/>
          <w:sz w:val="24"/>
          <w:szCs w:val="24"/>
          <w:highlight w:val="none"/>
          <w:lang w:val="en-US" w:eastAsia="zh-CN"/>
        </w:rPr>
        <w:t>12.436</w:t>
      </w:r>
      <w:r>
        <w:rPr>
          <w:rFonts w:hint="default" w:ascii="Times New Roman" w:hAnsi="宋体"/>
          <w:color w:val="auto"/>
          <w:kern w:val="0"/>
          <w:sz w:val="24"/>
          <w:szCs w:val="24"/>
          <w:highlight w:val="none"/>
          <w:lang w:val="en-US" w:eastAsia="zh-CN"/>
        </w:rPr>
        <w:t xml:space="preserve">hm²。施工中土石方开挖、填筑、碾压等活动，造成原地表的水土保持设施的损坏，而植被的损坏，使其截留降水，涵蓄水分、滞缓径流、固土拦泥的作用降低，造成水土保持功能下降，加剧水土流失。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（2）工程施工形成大量的松散土方，在大风的作用下可能形成扬尘，扬尘对周边居民生活将产生较大影响。同时，工程处于江岸区，扬尘将影响该区域的形象，从而影响江岸区的投资环境。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3）工程施工形成大量的松散土方，在流水等外营力作用下，产生的泥沙随雨水进入城市排水系统，进而淤塞城市排水管道，造成城市排水不畅，严重时甚至造成城市内涝，对城市居民的生产和生活造成严重不利影响。</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87" w:name="_Toc8717"/>
      <w:r>
        <w:rPr>
          <w:rFonts w:hint="eastAsia" w:cs="Times New Roman"/>
          <w:b/>
          <w:bCs/>
          <w:color w:val="auto"/>
          <w:sz w:val="28"/>
          <w:szCs w:val="28"/>
          <w:highlight w:val="none"/>
          <w:vertAlign w:val="baseline"/>
          <w:lang w:val="en-US" w:eastAsia="zh-CN"/>
        </w:rPr>
        <w:t>3</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4水土保持措施及效果</w:t>
      </w:r>
      <w:bookmarkEnd w:id="87"/>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（1）工程措施。监测指标为措施的类型、数量、稳定性、完好程度及运行情况。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（2）植物措施。监测指标包括植物的种类、面积、成活率、保存率、生长状况、林草覆盖率。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（3）临时措施。监测指标包括措施的类型、数量及运行情况。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（4）施工进度。监测指标包括各项水土保持措施的实施进展情况。</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5）水土流失防治效果。监测指标包括防治责任范围内水土保持效益，主要指标包括扰动土地整治率、水土流失总治理度、土壤流失控制比、拦渣率、林草植被恢复率、林草覆盖率等；对周边水土保持生态环境发挥的作用。主要监测对主体安全建设和运行发挥的作用。 </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eastAsia" w:cs="Times New Roman"/>
          <w:b/>
          <w:bCs/>
          <w:color w:val="auto"/>
          <w:sz w:val="36"/>
          <w:szCs w:val="36"/>
          <w:highlight w:val="none"/>
          <w:lang w:val="en-US" w:eastAsia="zh-CN"/>
        </w:rPr>
      </w:pPr>
      <w:bookmarkStart w:id="88" w:name="_Toc19903"/>
      <w:r>
        <w:rPr>
          <w:rFonts w:hint="eastAsia" w:cs="Times New Roman"/>
          <w:b/>
          <w:bCs/>
          <w:color w:val="auto"/>
          <w:sz w:val="36"/>
          <w:szCs w:val="36"/>
          <w:highlight w:val="none"/>
          <w:lang w:val="en-US" w:eastAsia="zh-CN"/>
        </w:rPr>
        <w:t>3.3监测方法</w:t>
      </w:r>
      <w:bookmarkEnd w:id="88"/>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本项目水土保持监测采取调查监测与定位监测相结合的方法。根据本项目各施工场地的不同特征以及监测内容采取不同的监测方法，</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具体监测方法如下：</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（1）调查巡查法</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地形、地貌、植被的扰动面积、扰动强度，项目占地面积、扰动地表面积等采用实地调查法。实地调查法指定期或不定期对项目区进行调查，通过现场实地勘测，采用全站仪、GPS 定位仪，结合 1：10000 地形图，测定不同地表扰动类型的面积；对损坏水土保持设施数量进行调查和核实。填表记录每个扰动类型区的基本特征（特别是堆渣和开挖面坡长、坡度、岩土类型）及水土保持措施（拦渣工程、护坡工程、土地整治等）实施情况。掌握新建水土保持设施的质量和使用情况，调查水土保持设施的保土效益、拦渣效益，扰动土地的再利用、生态效益等。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（2）定点监测法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②植物标准样地法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采用抽样统计和调查、测量等方法，即选择有代表性的地块，分别确定调查地样方，先现场量测、计算种盖度(或郁闭度)，再计算出 场地的林草覆盖度。具体方法为：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1)林地郁闭度的监测采用树冠投影法。在典型地块内选定 5m×5m的标准地，用皮尺将标准地划分为 5m×5m 的方格，测量每株立木在方格中的位置，用皮尺和罗盘测定每株树冠东西、南北方向的投影长度，再按实际形状在方格纸上按一定比例尺勾绘出树冠投影，在图上求出林冠投影面积和标准地面积，即可计算林地郁闭度。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2)灌木盖度的监测采用线段法。在典型地块内选定 2m×2m 的标准地，用测绳或皮尺在所选定样方灌木上方水平拉过，垂直观察灌从在测绳上的投影长度，并用卷尺测量。灌木总投影长度与测绳或样方总长度之比，即为灌木盖度。用此法在样方不同位置取三条线段求取平均值，即为样方灌木盖度。</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3)草地盖度的监测采用针刺法。用所选定样方内，选取1m×1m的小样方，测绳每 20cm 处用细针(φ=2mm)做标记，顺次在小样方内的上、下、左、右间隔 20cm 的点上，从草的上方垂直插下，针与草相接触即算有，不接触则算无。针与草相接触点数占总点数的比值，即为草地盖度。用此法在样方内不同位置取三个小样方求取平均值，即为样方草地的盖度。盖度计算公式为：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0" w:firstLineChars="0"/>
        <w:jc w:val="center"/>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D=fd/fe</w:t>
      </w:r>
      <w:r>
        <w:rPr>
          <w:rFonts w:hint="eastAsia" w:hAnsi="宋体"/>
          <w:color w:val="auto"/>
          <w:kern w:val="0"/>
          <w:sz w:val="24"/>
          <w:szCs w:val="24"/>
          <w:highlight w:val="none"/>
          <w:lang w:val="en-US" w:eastAsia="zh-CN"/>
        </w:rPr>
        <w:t xml:space="preserve">          </w:t>
      </w:r>
      <w:r>
        <w:rPr>
          <w:rFonts w:hint="default" w:ascii="Times New Roman" w:hAnsi="宋体"/>
          <w:color w:val="auto"/>
          <w:kern w:val="0"/>
          <w:sz w:val="24"/>
          <w:szCs w:val="24"/>
          <w:highlight w:val="none"/>
          <w:lang w:val="en-US" w:eastAsia="zh-CN"/>
        </w:rPr>
        <w:t xml:space="preserve"> C=f/F</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D—林地的郁闭度(或草地的盖度)，%；fd—样方面积，m²；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fe –样方内树冠(或草冠)的垂直投影面积，m²；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C—林（或草）植被覆盖度，%；f—林地（或草地）面积，h m²；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F—类型区总面积，h m²。 监测技术路线图见 3-1。 </w:t>
      </w:r>
    </w:p>
    <w:p>
      <w:pPr>
        <w:keepNext w:val="0"/>
        <w:keepLines w:val="0"/>
        <w:widowControl/>
        <w:suppressLineNumbers w:val="0"/>
        <w:jc w:val="center"/>
        <w:rPr>
          <w:color w:val="auto"/>
          <w:highlight w:val="none"/>
        </w:rPr>
      </w:pPr>
      <w:r>
        <w:rPr>
          <w:color w:val="auto"/>
          <w:highlight w:val="none"/>
        </w:rPr>
        <w:drawing>
          <wp:inline distT="0" distB="0" distL="114300" distR="114300">
            <wp:extent cx="5268595" cy="5019675"/>
            <wp:effectExtent l="0" t="0" r="8255" b="9525"/>
            <wp:docPr id="1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
                    <pic:cNvPicPr>
                      <a:picLocks noChangeAspect="1"/>
                    </pic:cNvPicPr>
                  </pic:nvPicPr>
                  <pic:blipFill>
                    <a:blip r:embed="rId19"/>
                    <a:stretch>
                      <a:fillRect/>
                    </a:stretch>
                  </pic:blipFill>
                  <pic:spPr>
                    <a:xfrm>
                      <a:off x="0" y="0"/>
                      <a:ext cx="5268595" cy="5019675"/>
                    </a:xfrm>
                    <a:prstGeom prst="rect">
                      <a:avLst/>
                    </a:prstGeom>
                    <a:noFill/>
                    <a:ln>
                      <a:noFill/>
                    </a:ln>
                  </pic:spPr>
                </pic:pic>
              </a:graphicData>
            </a:graphic>
          </wp:inline>
        </w:drawing>
      </w:r>
      <w:r>
        <w:rPr>
          <w:rFonts w:ascii="仿宋_GB2312" w:hAnsi="宋体" w:eastAsia="仿宋_GB2312" w:cs="仿宋_GB2312"/>
          <w:b/>
          <w:bCs/>
          <w:color w:val="auto"/>
          <w:kern w:val="0"/>
          <w:sz w:val="24"/>
          <w:szCs w:val="24"/>
          <w:highlight w:val="none"/>
          <w:lang w:val="en-US" w:eastAsia="zh-CN" w:bidi="ar"/>
        </w:rPr>
        <w:t xml:space="preserve">图 </w:t>
      </w:r>
      <w:r>
        <w:rPr>
          <w:rFonts w:hint="default" w:ascii="Times New Roman" w:hAnsi="Times New Roman" w:eastAsia="宋体" w:cs="Times New Roman"/>
          <w:b/>
          <w:bCs/>
          <w:color w:val="auto"/>
          <w:kern w:val="0"/>
          <w:sz w:val="24"/>
          <w:szCs w:val="24"/>
          <w:highlight w:val="none"/>
          <w:lang w:val="en-US" w:eastAsia="zh-CN" w:bidi="ar"/>
        </w:rPr>
        <w:t xml:space="preserve">3-1 </w:t>
      </w:r>
      <w:r>
        <w:rPr>
          <w:rFonts w:hint="default" w:ascii="仿宋_GB2312" w:hAnsi="宋体" w:eastAsia="仿宋_GB2312" w:cs="仿宋_GB2312"/>
          <w:b/>
          <w:bCs/>
          <w:color w:val="auto"/>
          <w:kern w:val="0"/>
          <w:sz w:val="24"/>
          <w:szCs w:val="24"/>
          <w:highlight w:val="none"/>
          <w:lang w:val="en-US" w:eastAsia="zh-CN" w:bidi="ar"/>
        </w:rPr>
        <w:t>监测技术线路图</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2"/>
        <w:rPr>
          <w:rFonts w:hint="default" w:ascii="Times New Roman" w:hAnsi="Times New Roman" w:cs="Times New Roman"/>
          <w:b/>
          <w:bCs/>
          <w:color w:val="auto"/>
          <w:sz w:val="28"/>
          <w:szCs w:val="28"/>
          <w:highlight w:val="none"/>
          <w:vertAlign w:val="baseline"/>
          <w:lang w:val="en-US" w:eastAsia="zh-CN"/>
        </w:rPr>
      </w:pPr>
      <w:bookmarkStart w:id="89" w:name="_Toc30105"/>
      <w:r>
        <w:rPr>
          <w:rFonts w:hint="eastAsia" w:cs="Times New Roman"/>
          <w:b/>
          <w:bCs/>
          <w:color w:val="auto"/>
          <w:sz w:val="28"/>
          <w:szCs w:val="28"/>
          <w:highlight w:val="none"/>
          <w:vertAlign w:val="baseline"/>
          <w:lang w:val="en-US" w:eastAsia="zh-CN"/>
        </w:rPr>
        <w:t>3</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3</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1水土流失影响因子监测方法</w:t>
      </w:r>
      <w:bookmarkEnd w:id="89"/>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1、水土流失影响因子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（1）气象。收集项目区附近气象、水文资料，或者可设置自记雨量计和风速仪测定。每月统计1次，汛期和风季按天统计。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（2）地形地貌。采用实地勘测、路线调查等方法对地形、地貌的变化进行监测。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（3）地表组成物质。实地调查各监测分区的土类、岩石、沙地的分布，以及土壤类型及性质等。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2、监测方法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（1）土壤。土壤类型在查阅资料的基础上，结合实地调查确定；土壤质地可采用手测法测定。土壤容重采用烘干法测定；土层厚度采用剖面法测定。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（2）地表植被。在综合分析相关资料的基础上，实地调查确定植物种类、优势种。林地郁闭度采用样线法测定，选择适宜时间，每年测定一次。灌草盖度点型项目采用样方法测定，每年不少于2次。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（3）水土流失防治责任范围。查阅项目技术文件，结合实地抽样调查，采用实测法确定水土流失防治责任范围，点型项目采用样方法测定，每年不少于3次。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（4）地表扰动。监测方法同上。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（5）弃土弃渣。查阅项目技术文件，利用钢尺、GPS结合实地量测。点型项目以实测为主，每月1次，采用实测法测量弃土弃渣堆占面积；根据渣场面积并结合堆渣体形状测算弃土弃渣量。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（6）取土取料。查阅项目技术文件，结合实地量测，监测建设过程中的开采量和地表扰动面积。点型项目每月1次。</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2"/>
        <w:rPr>
          <w:rFonts w:hint="eastAsia" w:cs="Times New Roman"/>
          <w:b/>
          <w:bCs/>
          <w:color w:val="auto"/>
          <w:sz w:val="28"/>
          <w:szCs w:val="28"/>
          <w:highlight w:val="none"/>
          <w:vertAlign w:val="baseline"/>
          <w:lang w:val="en-US" w:eastAsia="zh-CN"/>
        </w:rPr>
      </w:pPr>
      <w:bookmarkStart w:id="90" w:name="_Toc31080"/>
      <w:r>
        <w:rPr>
          <w:rFonts w:hint="default" w:cs="Times New Roman"/>
          <w:b/>
          <w:bCs/>
          <w:color w:val="auto"/>
          <w:sz w:val="28"/>
          <w:szCs w:val="28"/>
          <w:highlight w:val="none"/>
          <w:vertAlign w:val="baseline"/>
          <w:lang w:val="en-US" w:eastAsia="zh-CN"/>
        </w:rPr>
        <w:t xml:space="preserve">3.3.2 </w:t>
      </w:r>
      <w:r>
        <w:rPr>
          <w:rFonts w:hint="eastAsia" w:cs="Times New Roman"/>
          <w:b/>
          <w:bCs/>
          <w:color w:val="auto"/>
          <w:sz w:val="28"/>
          <w:szCs w:val="28"/>
          <w:highlight w:val="none"/>
          <w:vertAlign w:val="baseline"/>
          <w:lang w:val="en-US" w:eastAsia="zh-CN"/>
        </w:rPr>
        <w:t>水土流失状况监测</w:t>
      </w:r>
      <w:bookmarkEnd w:id="90"/>
      <w:r>
        <w:rPr>
          <w:rFonts w:hint="eastAsia" w:cs="Times New Roman"/>
          <w:b/>
          <w:bCs/>
          <w:color w:val="auto"/>
          <w:sz w:val="28"/>
          <w:szCs w:val="28"/>
          <w:highlight w:val="none"/>
          <w:vertAlign w:val="baseline"/>
          <w:lang w:val="en-US" w:eastAsia="zh-CN"/>
        </w:rPr>
        <w:t xml:space="preserve">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（1）水土流失类型及形式。在综合分析相关资料的基础上，实地调查确定水土流失类型与形式。监测期间不少于1次。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（2）水土流失面积。点型项目采用普查法，监测期间不少于3次。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color w:val="auto"/>
          <w:highlight w:val="none"/>
        </w:rPr>
      </w:pPr>
      <w:r>
        <w:rPr>
          <w:rFonts w:hint="default" w:ascii="Times New Roman" w:hAnsi="宋体"/>
          <w:color w:val="auto"/>
          <w:kern w:val="0"/>
          <w:sz w:val="24"/>
          <w:szCs w:val="24"/>
          <w:highlight w:val="none"/>
          <w:lang w:val="en-US" w:eastAsia="zh-CN"/>
        </w:rPr>
        <w:t>（3）土壤侵蚀强度监测。根据《土壤侵蚀分类分级标准》（SL190-2007）分析确定各监测分区的土壤侵蚀强度级别。施工期和监测期末各1次。</w:t>
      </w:r>
      <w:r>
        <w:rPr>
          <w:rFonts w:hint="default" w:ascii="仿宋_GB2312" w:hAnsi="宋体" w:eastAsia="仿宋_GB2312" w:cs="仿宋_GB2312"/>
          <w:color w:val="auto"/>
          <w:kern w:val="0"/>
          <w:sz w:val="28"/>
          <w:szCs w:val="28"/>
          <w:highlight w:val="none"/>
          <w:lang w:val="en-US" w:eastAsia="zh-CN" w:bidi="ar"/>
        </w:rPr>
        <w:t xml:space="preserve"> </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2"/>
        <w:rPr>
          <w:rFonts w:hint="eastAsia" w:cs="Times New Roman"/>
          <w:b/>
          <w:bCs/>
          <w:color w:val="auto"/>
          <w:sz w:val="28"/>
          <w:szCs w:val="28"/>
          <w:highlight w:val="none"/>
          <w:vertAlign w:val="baseline"/>
          <w:lang w:val="en-US" w:eastAsia="zh-CN"/>
        </w:rPr>
      </w:pPr>
      <w:bookmarkStart w:id="91" w:name="_Toc18262"/>
      <w:r>
        <w:rPr>
          <w:rFonts w:hint="default" w:cs="Times New Roman"/>
          <w:b/>
          <w:bCs/>
          <w:color w:val="auto"/>
          <w:sz w:val="28"/>
          <w:szCs w:val="28"/>
          <w:highlight w:val="none"/>
          <w:vertAlign w:val="baseline"/>
          <w:lang w:val="en-US" w:eastAsia="zh-CN"/>
        </w:rPr>
        <w:t>3.3.</w:t>
      </w:r>
      <w:r>
        <w:rPr>
          <w:rFonts w:hint="eastAsia" w:cs="Times New Roman"/>
          <w:b/>
          <w:bCs/>
          <w:color w:val="auto"/>
          <w:sz w:val="28"/>
          <w:szCs w:val="28"/>
          <w:highlight w:val="none"/>
          <w:vertAlign w:val="baseline"/>
          <w:lang w:val="en-US" w:eastAsia="zh-CN"/>
        </w:rPr>
        <w:t>3</w:t>
      </w:r>
      <w:r>
        <w:rPr>
          <w:rFonts w:hint="default" w:cs="Times New Roman"/>
          <w:b/>
          <w:bCs/>
          <w:color w:val="auto"/>
          <w:sz w:val="28"/>
          <w:szCs w:val="28"/>
          <w:highlight w:val="none"/>
          <w:vertAlign w:val="baseline"/>
          <w:lang w:val="en-US" w:eastAsia="zh-CN"/>
        </w:rPr>
        <w:t xml:space="preserve"> </w:t>
      </w:r>
      <w:r>
        <w:rPr>
          <w:rFonts w:hint="eastAsia" w:cs="Times New Roman"/>
          <w:b/>
          <w:bCs/>
          <w:color w:val="auto"/>
          <w:sz w:val="28"/>
          <w:szCs w:val="28"/>
          <w:highlight w:val="none"/>
          <w:vertAlign w:val="baseline"/>
          <w:lang w:val="en-US" w:eastAsia="zh-CN"/>
        </w:rPr>
        <w:t>水土流失危害监测</w:t>
      </w:r>
      <w:bookmarkEnd w:id="91"/>
      <w:r>
        <w:rPr>
          <w:rFonts w:hint="eastAsia" w:cs="Times New Roman"/>
          <w:b/>
          <w:bCs/>
          <w:color w:val="auto"/>
          <w:sz w:val="28"/>
          <w:szCs w:val="28"/>
          <w:highlight w:val="none"/>
          <w:vertAlign w:val="baseline"/>
          <w:lang w:val="en-US" w:eastAsia="zh-CN"/>
        </w:rPr>
        <w:t xml:space="preserve">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（1）水土流失危害面积。采用实测法利用（GPS）计算受害范围及各种受害对象的面积。</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（2）水土流失危害数量和程度。采用实地调查、询问的方法。当危害范围较小时，采用普查法；当危害范围较大时，采用抽样调查法。</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2"/>
        <w:rPr>
          <w:rFonts w:hint="eastAsia" w:cs="Times New Roman"/>
          <w:b/>
          <w:bCs/>
          <w:color w:val="auto"/>
          <w:sz w:val="28"/>
          <w:szCs w:val="28"/>
          <w:highlight w:val="none"/>
          <w:vertAlign w:val="baseline"/>
          <w:lang w:val="en-US" w:eastAsia="zh-CN"/>
        </w:rPr>
      </w:pPr>
      <w:bookmarkStart w:id="92" w:name="_Toc12074"/>
      <w:r>
        <w:rPr>
          <w:rFonts w:hint="default" w:cs="Times New Roman"/>
          <w:b/>
          <w:bCs/>
          <w:color w:val="auto"/>
          <w:sz w:val="28"/>
          <w:szCs w:val="28"/>
          <w:highlight w:val="none"/>
          <w:vertAlign w:val="baseline"/>
          <w:lang w:val="en-US" w:eastAsia="zh-CN"/>
        </w:rPr>
        <w:t>3.3.</w:t>
      </w:r>
      <w:r>
        <w:rPr>
          <w:rFonts w:hint="eastAsia" w:cs="Times New Roman"/>
          <w:b/>
          <w:bCs/>
          <w:color w:val="auto"/>
          <w:sz w:val="28"/>
          <w:szCs w:val="28"/>
          <w:highlight w:val="none"/>
          <w:vertAlign w:val="baseline"/>
          <w:lang w:val="en-US" w:eastAsia="zh-CN"/>
        </w:rPr>
        <w:t>4</w:t>
      </w:r>
      <w:r>
        <w:rPr>
          <w:rFonts w:hint="default" w:cs="Times New Roman"/>
          <w:b/>
          <w:bCs/>
          <w:color w:val="auto"/>
          <w:sz w:val="28"/>
          <w:szCs w:val="28"/>
          <w:highlight w:val="none"/>
          <w:vertAlign w:val="baseline"/>
          <w:lang w:val="en-US" w:eastAsia="zh-CN"/>
        </w:rPr>
        <w:t xml:space="preserve"> </w:t>
      </w:r>
      <w:r>
        <w:rPr>
          <w:rFonts w:hint="eastAsia" w:cs="Times New Roman"/>
          <w:b/>
          <w:bCs/>
          <w:color w:val="auto"/>
          <w:sz w:val="28"/>
          <w:szCs w:val="28"/>
          <w:highlight w:val="none"/>
          <w:vertAlign w:val="baseline"/>
          <w:lang w:val="en-US" w:eastAsia="zh-CN"/>
        </w:rPr>
        <w:t>水土保持措施及效果监测</w:t>
      </w:r>
      <w:bookmarkEnd w:id="92"/>
      <w:r>
        <w:rPr>
          <w:rFonts w:hint="eastAsia" w:cs="Times New Roman"/>
          <w:b/>
          <w:bCs/>
          <w:color w:val="auto"/>
          <w:sz w:val="28"/>
          <w:szCs w:val="28"/>
          <w:highlight w:val="none"/>
          <w:vertAlign w:val="baseline"/>
          <w:lang w:val="en-US" w:eastAsia="zh-CN"/>
        </w:rPr>
        <w:t xml:space="preserve">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（1）工程措施和临时措施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①工程措施。查阅设计、监理等资料，结合定期实地勘测(利用) 与不定期全面巡查，确定措施的类型、规格、数量、工程量。采用量测和目视检查的方式，对工程措施的外观质量和关键部位的几何尺寸进行核查，必要时可采用GPS 量测。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②临时措施。采用实地调查（利用皮尺、钢尺、GPS等设备）掌握类型、规格、数量、工程量等适时监测，并拍摄照片或录像。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（2）植物措施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①植物类型和面积。在综合分析相关技术资料的基础上，实地调查确定，利用皮尺或GPS实测植被面积。选择适宜时间，每季度1次。</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②成活率、保存率及生长状况。采用抽样调查法确定。选择适宜时间，每季度1次。乔木的成活率及保存率采用样方或样线调查法量测。灌木的成活率及保存率采用样方法调查灌木的成活丛数、保存丛数，调查初植丛数，确定最终值。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③郁闭度与盖度。选择适宜时间，每季度测定1次。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④林草覆盖率。统计林草地面积，分析计算获得。样方法：样方布设采用标准地调查法，按照监测分区，用GPS或卷尺（200m）确定样方面积，乔木样方5m×5m、灌木样方2m×2m、草本样方1m×1m。各种植被类型样方数量一般不少于3块。对行道树可采用样线调查，每隔100m测定10m。植物措施面积测定，采用GPS量测各监测分区的植物措施面积。成活率、保存率测定，对于乔木和灌木，选择样方或样行，统计总株数和成活株数，并计算成活率，然后计算平均成活率。根据各阶段的调查结果，统计保存率。对于草本，选择样方，统计出苗数量，草密度达到30株/m²以上为合格，计算出平均成活率，大于75%为合格。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（3）施工进度。查阅施工、监理资料，结合调查询问。每月1次。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4）水土保持设施效果。水土保持设施效益按《开发建设项目水土流失防治标准》（GB50344-2008）规定进行分析。在试运行期，在对防治措施进行全面调查的基础上，主要通过定位观测水土保持措施的运行情况、林草措施布置和生长情况，防护工程自身的稳定性、运行情况和减水减沙拦渣效率；边坡等防护对象的稳定性。计算水土流失6项防治目标（扰动土地整治率、水土流失总治理度、拦渣率、土壤流失控制比、林草植被恢复率、林草覆盖率）。</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cs="Times New Roman"/>
          <w:b/>
          <w:bCs/>
          <w:color w:val="auto"/>
          <w:sz w:val="36"/>
          <w:szCs w:val="36"/>
          <w:highlight w:val="none"/>
          <w:lang w:val="en-US" w:eastAsia="zh-CN"/>
        </w:rPr>
      </w:pPr>
      <w:bookmarkStart w:id="93" w:name="_Toc10693"/>
      <w:r>
        <w:rPr>
          <w:rFonts w:hint="eastAsia" w:cs="Times New Roman"/>
          <w:b/>
          <w:bCs/>
          <w:color w:val="auto"/>
          <w:sz w:val="36"/>
          <w:szCs w:val="36"/>
          <w:highlight w:val="none"/>
          <w:lang w:val="en-US" w:eastAsia="zh-CN"/>
        </w:rPr>
        <w:t>3.4监测控制节点及频次</w:t>
      </w:r>
      <w:bookmarkEnd w:id="93"/>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94" w:name="_Toc28378"/>
      <w:r>
        <w:rPr>
          <w:rFonts w:hint="eastAsia" w:cs="Times New Roman"/>
          <w:b/>
          <w:bCs/>
          <w:color w:val="auto"/>
          <w:sz w:val="28"/>
          <w:szCs w:val="28"/>
          <w:highlight w:val="none"/>
          <w:vertAlign w:val="baseline"/>
          <w:lang w:val="en-US" w:eastAsia="zh-CN"/>
        </w:rPr>
        <w:t>3</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4</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1控制节点</w:t>
      </w:r>
      <w:bookmarkEnd w:id="94"/>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监测控制节点设置根据相关规程规范和工程实际进行编排。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20</w:t>
      </w:r>
      <w:r>
        <w:rPr>
          <w:rFonts w:hint="eastAsia" w:hAnsi="宋体"/>
          <w:color w:val="auto"/>
          <w:kern w:val="0"/>
          <w:sz w:val="24"/>
          <w:szCs w:val="24"/>
          <w:highlight w:val="none"/>
          <w:lang w:val="en-US" w:eastAsia="zh-CN"/>
        </w:rPr>
        <w:t>21</w:t>
      </w:r>
      <w:r>
        <w:rPr>
          <w:rFonts w:hint="default" w:ascii="Times New Roman" w:hAnsi="宋体"/>
          <w:color w:val="auto"/>
          <w:kern w:val="0"/>
          <w:sz w:val="24"/>
          <w:szCs w:val="24"/>
          <w:highlight w:val="none"/>
          <w:lang w:val="en-US" w:eastAsia="zh-CN"/>
        </w:rPr>
        <w:t>年1</w:t>
      </w:r>
      <w:r>
        <w:rPr>
          <w:rFonts w:hint="eastAsia" w:ascii="Times New Roman" w:hAnsi="宋体"/>
          <w:color w:val="auto"/>
          <w:kern w:val="0"/>
          <w:sz w:val="24"/>
          <w:szCs w:val="24"/>
          <w:highlight w:val="none"/>
          <w:lang w:val="en-US" w:eastAsia="zh-CN"/>
        </w:rPr>
        <w:t>2</w:t>
      </w:r>
      <w:r>
        <w:rPr>
          <w:rFonts w:hint="default" w:ascii="Times New Roman" w:hAnsi="宋体"/>
          <w:color w:val="auto"/>
          <w:kern w:val="0"/>
          <w:sz w:val="24"/>
          <w:szCs w:val="24"/>
          <w:highlight w:val="none"/>
          <w:lang w:val="en-US" w:eastAsia="zh-CN"/>
        </w:rPr>
        <w:t xml:space="preserve">月，成立水土保持监测项目部，按照《水土保持监测技术规程》（SL277-2015）和水保〔2009〕187号文要求，开展现场监测工作，完成现场巡查，并对各监测点土壤侵蚀数据采样，收集相关资料。每次现场监测工作结束后，将收集到的资料，按照我公司质量相关要求，在完成分析、整理后，由项目负责人完成资料验证，验证后及时完成水土保持相关信息摘录。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各监测季末，核对收集到的水土保持措施实施数量及具体的监测指标情况，与现场监测记录实际调查数据进行核对，如有不一致的部位，可由项目负责人与相关的施工单位、监理单位、建设单位相关负责人核对。每年年末，编制监测年报，同时协助建设单位报送各级水行政主管部门备案。项目建设结束后，编制完成监测总结报告。</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95" w:name="_Toc24414"/>
      <w:r>
        <w:rPr>
          <w:rFonts w:hint="eastAsia" w:cs="Times New Roman"/>
          <w:b/>
          <w:bCs/>
          <w:color w:val="auto"/>
          <w:sz w:val="28"/>
          <w:szCs w:val="28"/>
          <w:highlight w:val="none"/>
          <w:vertAlign w:val="baseline"/>
          <w:lang w:val="en-US" w:eastAsia="zh-CN"/>
        </w:rPr>
        <w:t>3</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4</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2监测频次</w:t>
      </w:r>
      <w:bookmarkEnd w:id="95"/>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施工建设期为接受委托20</w:t>
      </w:r>
      <w:r>
        <w:rPr>
          <w:rFonts w:hint="eastAsia" w:hAnsi="宋体"/>
          <w:color w:val="auto"/>
          <w:kern w:val="0"/>
          <w:sz w:val="24"/>
          <w:szCs w:val="24"/>
          <w:highlight w:val="none"/>
          <w:lang w:val="en-US" w:eastAsia="zh-CN"/>
        </w:rPr>
        <w:t>21</w:t>
      </w:r>
      <w:r>
        <w:rPr>
          <w:rFonts w:hint="default" w:ascii="Times New Roman" w:hAnsi="宋体"/>
          <w:color w:val="auto"/>
          <w:kern w:val="0"/>
          <w:sz w:val="24"/>
          <w:szCs w:val="24"/>
          <w:highlight w:val="none"/>
          <w:lang w:val="en-US" w:eastAsia="zh-CN"/>
        </w:rPr>
        <w:t>年1</w:t>
      </w:r>
      <w:r>
        <w:rPr>
          <w:rFonts w:hint="eastAsia" w:ascii="Times New Roman" w:hAnsi="宋体"/>
          <w:color w:val="auto"/>
          <w:kern w:val="0"/>
          <w:sz w:val="24"/>
          <w:szCs w:val="24"/>
          <w:highlight w:val="none"/>
          <w:lang w:val="en-US" w:eastAsia="zh-CN"/>
        </w:rPr>
        <w:t>2</w:t>
      </w:r>
      <w:r>
        <w:rPr>
          <w:rFonts w:hint="default" w:ascii="Times New Roman" w:hAnsi="宋体"/>
          <w:color w:val="auto"/>
          <w:kern w:val="0"/>
          <w:sz w:val="24"/>
          <w:szCs w:val="24"/>
          <w:highlight w:val="none"/>
          <w:lang w:val="en-US" w:eastAsia="zh-CN"/>
        </w:rPr>
        <w:t xml:space="preserve">月至2021年12月（以工程实际结束日期为准）。建设期使用中的临时堆土场，正在实施的水土保持措施建设情况等每10天监测记录1次；扰动土地面积、水土保持工程措施拦挡效果等每月监测记录1次；主体工程建设进度、水土流失影响因子、水土保持植物措施生长情况等每3个月记录1次。遇降雨产生地表径流时，应及时加测。水土流失灾害事件发生后1周内完成监测。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20</w:t>
      </w:r>
      <w:r>
        <w:rPr>
          <w:rFonts w:hint="eastAsia" w:hAnsi="宋体"/>
          <w:color w:val="auto"/>
          <w:kern w:val="0"/>
          <w:sz w:val="24"/>
          <w:szCs w:val="24"/>
          <w:highlight w:val="none"/>
          <w:lang w:val="en-US" w:eastAsia="zh-CN"/>
        </w:rPr>
        <w:t>21</w:t>
      </w:r>
      <w:r>
        <w:rPr>
          <w:rFonts w:hint="default" w:ascii="Times New Roman" w:hAnsi="宋体"/>
          <w:color w:val="auto"/>
          <w:kern w:val="0"/>
          <w:sz w:val="24"/>
          <w:szCs w:val="24"/>
          <w:highlight w:val="none"/>
          <w:lang w:val="en-US" w:eastAsia="zh-CN"/>
        </w:rPr>
        <w:t>年1</w:t>
      </w:r>
      <w:r>
        <w:rPr>
          <w:rFonts w:hint="eastAsia" w:ascii="Times New Roman" w:hAnsi="宋体"/>
          <w:color w:val="auto"/>
          <w:kern w:val="0"/>
          <w:sz w:val="24"/>
          <w:szCs w:val="24"/>
          <w:highlight w:val="none"/>
          <w:lang w:val="en-US" w:eastAsia="zh-CN"/>
        </w:rPr>
        <w:t>2</w:t>
      </w:r>
      <w:r>
        <w:rPr>
          <w:rFonts w:hint="default" w:ascii="Times New Roman" w:hAnsi="宋体"/>
          <w:color w:val="auto"/>
          <w:kern w:val="0"/>
          <w:sz w:val="24"/>
          <w:szCs w:val="24"/>
          <w:highlight w:val="none"/>
          <w:lang w:val="en-US" w:eastAsia="zh-CN"/>
        </w:rPr>
        <w:t xml:space="preserve">月至2021年12月（设计水平年结束）本时段的监测工作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主要包括以下4方面内容：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1）水土流失量监测：每季度1次，遇降雨产生地表径流时，应及时加测。</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2）重点监测林木成活率、覆盖度，监测时间在春季返青、秋季浇冻水之前各监测1次；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 xml:space="preserve">3）水土保持措施运行情况及防治效果情况，每月监测记录1次；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4）水土流失治面积每季度监测1次。</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ascii="Times New Roman" w:hAnsi="宋体"/>
          <w:color w:val="auto"/>
          <w:kern w:val="0"/>
          <w:sz w:val="24"/>
          <w:szCs w:val="24"/>
          <w:highlight w:val="none"/>
          <w:lang w:val="en-US" w:eastAsia="zh-CN"/>
        </w:rPr>
        <w:sectPr>
          <w:pgSz w:w="11906" w:h="16838"/>
          <w:pgMar w:top="1440" w:right="1800" w:bottom="1440" w:left="1800" w:header="851" w:footer="992" w:gutter="0"/>
          <w:pgNumType w:fmt="decimal"/>
          <w:cols w:space="425" w:num="1"/>
          <w:docGrid w:type="lines" w:linePitch="312" w:charSpace="0"/>
        </w:sectPr>
      </w:pPr>
    </w:p>
    <w:p>
      <w:pPr>
        <w:ind w:left="0" w:leftChars="0" w:firstLine="0" w:firstLineChars="0"/>
        <w:jc w:val="center"/>
        <w:outlineLvl w:val="0"/>
        <w:rPr>
          <w:rFonts w:hint="default" w:ascii="Times New Roman" w:hAnsi="Times New Roman" w:eastAsia="黑体" w:cs="Times New Roman"/>
          <w:b/>
          <w:bCs/>
          <w:color w:val="auto"/>
          <w:sz w:val="44"/>
          <w:szCs w:val="44"/>
          <w:highlight w:val="none"/>
          <w:lang w:val="en-US" w:eastAsia="zh-CN"/>
        </w:rPr>
      </w:pPr>
      <w:bookmarkStart w:id="96" w:name="_Toc29500"/>
      <w:r>
        <w:rPr>
          <w:rFonts w:hint="eastAsia" w:eastAsia="黑体" w:cs="Times New Roman"/>
          <w:b/>
          <w:bCs/>
          <w:color w:val="auto"/>
          <w:sz w:val="44"/>
          <w:szCs w:val="44"/>
          <w:highlight w:val="none"/>
          <w:lang w:val="en-US" w:eastAsia="zh-CN"/>
        </w:rPr>
        <w:t>4</w:t>
      </w:r>
      <w:r>
        <w:rPr>
          <w:rFonts w:hint="eastAsia" w:eastAsia="黑体" w:cs="Times New Roman"/>
          <w:b w:val="0"/>
          <w:bCs w:val="0"/>
          <w:color w:val="auto"/>
          <w:sz w:val="44"/>
          <w:szCs w:val="44"/>
          <w:highlight w:val="none"/>
          <w:lang w:val="en-US" w:eastAsia="zh-CN"/>
        </w:rPr>
        <w:t>预期成果及形式</w:t>
      </w:r>
      <w:bookmarkEnd w:id="96"/>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cs="Times New Roman"/>
          <w:b/>
          <w:bCs/>
          <w:color w:val="auto"/>
          <w:sz w:val="36"/>
          <w:szCs w:val="36"/>
          <w:highlight w:val="none"/>
          <w:lang w:val="en-US" w:eastAsia="zh-CN"/>
        </w:rPr>
      </w:pPr>
      <w:bookmarkStart w:id="97" w:name="_Toc22863"/>
      <w:r>
        <w:rPr>
          <w:rFonts w:hint="eastAsia" w:cs="Times New Roman"/>
          <w:b/>
          <w:bCs/>
          <w:color w:val="auto"/>
          <w:sz w:val="36"/>
          <w:szCs w:val="36"/>
          <w:highlight w:val="none"/>
          <w:lang w:val="en-US" w:eastAsia="zh-CN"/>
        </w:rPr>
        <w:t>4.1监测记录表</w:t>
      </w:r>
      <w:bookmarkEnd w:id="97"/>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eastAsia" w:hAnsi="宋体"/>
          <w:color w:val="auto"/>
          <w:kern w:val="0"/>
          <w:sz w:val="24"/>
          <w:szCs w:val="24"/>
          <w:highlight w:val="none"/>
          <w:lang w:val="en-US" w:eastAsia="zh-CN"/>
        </w:rPr>
      </w:pPr>
      <w:r>
        <w:rPr>
          <w:rFonts w:hint="default" w:ascii="Times New Roman" w:hAnsi="宋体"/>
          <w:color w:val="auto"/>
          <w:kern w:val="0"/>
          <w:sz w:val="24"/>
          <w:szCs w:val="24"/>
          <w:highlight w:val="none"/>
          <w:lang w:val="en-US" w:eastAsia="zh-CN"/>
        </w:rPr>
        <w:t>现场数据：水土流失地面观测、现场调查及巡查监测时，对各项数据及监测结果进行全面记录。根据《生产建设项目水土保持监测规程（试行）》（2015.6），各监测记录表见附件</w:t>
      </w:r>
      <w:r>
        <w:rPr>
          <w:rFonts w:hint="eastAsia" w:hAnsi="宋体"/>
          <w:color w:val="auto"/>
          <w:kern w:val="0"/>
          <w:sz w:val="24"/>
          <w:szCs w:val="24"/>
          <w:highlight w:val="none"/>
          <w:lang w:val="en-US" w:eastAsia="zh-CN"/>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cs="Times New Roman"/>
          <w:b/>
          <w:bCs/>
          <w:color w:val="auto"/>
          <w:sz w:val="36"/>
          <w:szCs w:val="36"/>
          <w:highlight w:val="none"/>
          <w:lang w:val="en-US" w:eastAsia="zh-CN"/>
        </w:rPr>
      </w:pPr>
      <w:bookmarkStart w:id="98" w:name="_Toc3137"/>
      <w:r>
        <w:rPr>
          <w:rFonts w:hint="eastAsia" w:cs="Times New Roman"/>
          <w:b/>
          <w:bCs/>
          <w:color w:val="auto"/>
          <w:sz w:val="36"/>
          <w:szCs w:val="36"/>
          <w:highlight w:val="none"/>
          <w:lang w:val="en-US" w:eastAsia="zh-CN"/>
        </w:rPr>
        <w:t>4.2水土保持监测报告</w:t>
      </w:r>
      <w:bookmarkEnd w:id="98"/>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水土保持监测报告包括《水土保持监测实施方案》、《水土保持监测季报》、《水土保持监测年报》、《水土流失危害事件监测报告》、《水土保持监测总结报告》，所有报告形式均《生产建设项目水土保持监测规程（试行）》（2015.6）要求进行编制，其中：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1）监测实施方案：首次现场踏勘完成后，结合收集的相关工程资料和水土保持方案批复情况，编制完成针对下一步水土保持监测工作开展具有指导性意义的计划性报告。监测实施方案明确了监测内容和方法，监测点的种类、数量与位置，满足水土保持监测工作的需要。合同签订后，1个月内提交建设单位，并协助建设单位报送水行政主管部门。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（2）季报：每次监测后，对监测数据进行整理分析，形成阶段性监测成果。每季季末进行监测数据的统计与分析，下一季度内以季度监测报告的形式提交建设单位，并协助建设单位水行政主管部门。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（3）年报：每年年末，对本年度各季度水土保持监测工作进行分析汇总，编写水土保持监测年报，第二年1月底前提交建设单位，并协助建设单位报送水行政主管部门。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4）阶段水土流失危害事件监测报告：主要包括暴雨后加测的水土保持监测报告、水土流失灾害事件报告、水土流失突发事件报告等，突发水土流失事件发生后一周内编写完成，并及时提交建设单位，并协助建设单位报送水行政主管部门。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（5）监测总结报告：对整个工程水土保持监测情况做概括性总结，在监测工作完成之后、水土保持设施竣工验收之前提交建设单位，并协助建设单位报送水行政主管部门。</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cs="Times New Roman"/>
          <w:b/>
          <w:bCs/>
          <w:color w:val="auto"/>
          <w:sz w:val="36"/>
          <w:szCs w:val="36"/>
          <w:highlight w:val="none"/>
          <w:lang w:val="en-US" w:eastAsia="zh-CN"/>
        </w:rPr>
      </w:pPr>
      <w:bookmarkStart w:id="99" w:name="_Toc9567"/>
      <w:r>
        <w:rPr>
          <w:rFonts w:hint="eastAsia" w:cs="Times New Roman"/>
          <w:b/>
          <w:bCs/>
          <w:color w:val="auto"/>
          <w:sz w:val="36"/>
          <w:szCs w:val="36"/>
          <w:highlight w:val="none"/>
          <w:lang w:val="en-US" w:eastAsia="zh-CN"/>
        </w:rPr>
        <w:t>4.3图片影像资料</w:t>
      </w:r>
      <w:bookmarkEnd w:id="99"/>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在监测的过程中，工作人员将根据本《监测实施方案》要求进行实地监测，在施工现场收集照片，用以反映项目区的水土流失及其治理措施变化情况。每次对施工现场进行监测后，及时整理图片，在简报里反映出施工建设项目在整个施工过程中的水土流失及其防治状况。监测结束后，对整个监测过程的图片影像资料进行整理，以图片集的形式提交。 </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cs="Times New Roman"/>
          <w:b/>
          <w:bCs/>
          <w:color w:val="auto"/>
          <w:sz w:val="36"/>
          <w:szCs w:val="36"/>
          <w:highlight w:val="none"/>
          <w:lang w:val="en-US" w:eastAsia="zh-CN"/>
        </w:rPr>
      </w:pPr>
      <w:bookmarkStart w:id="100" w:name="_Toc24539"/>
      <w:r>
        <w:rPr>
          <w:rFonts w:hint="eastAsia" w:cs="Times New Roman"/>
          <w:b/>
          <w:bCs/>
          <w:color w:val="auto"/>
          <w:sz w:val="36"/>
          <w:szCs w:val="36"/>
          <w:highlight w:val="none"/>
          <w:lang w:val="en-US" w:eastAsia="zh-CN"/>
        </w:rPr>
        <w:t>4.3附件及附图</w:t>
      </w:r>
      <w:bookmarkEnd w:id="100"/>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附图包括项目区地理位置图、项目区地形地貌图、项目平面布置图、水土保持方案确定的防治责任范围图、水土保持方案的防治分区及水土保持措施布局图、工程现状监测范围及监测点布置图等。 </w:t>
      </w:r>
    </w:p>
    <w:p>
      <w:pPr>
        <w:keepNext w:val="0"/>
        <w:keepLines w:val="0"/>
        <w:widowControl/>
        <w:suppressLineNumbers w:val="0"/>
        <w:jc w:val="center"/>
        <w:rPr>
          <w:color w:val="auto"/>
          <w:highlight w:val="none"/>
        </w:rPr>
      </w:pPr>
      <w:r>
        <w:rPr>
          <w:rFonts w:hint="default" w:hAnsi="宋体"/>
          <w:color w:val="auto"/>
          <w:kern w:val="0"/>
          <w:sz w:val="24"/>
          <w:szCs w:val="24"/>
          <w:highlight w:val="none"/>
          <w:lang w:val="en-US" w:eastAsia="zh-CN"/>
        </w:rPr>
        <w:t>附件包括与工程有关的资料及文件，主要包括委托书、水土保持方案批复等。</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sectPr>
          <w:pgSz w:w="11906" w:h="16838"/>
          <w:pgMar w:top="1440" w:right="1800" w:bottom="1440" w:left="1800" w:header="851" w:footer="992" w:gutter="0"/>
          <w:pgNumType w:fmt="decimal"/>
          <w:cols w:space="425" w:num="1"/>
          <w:docGrid w:type="lines" w:linePitch="312" w:charSpace="0"/>
        </w:sectPr>
      </w:pPr>
    </w:p>
    <w:p>
      <w:pPr>
        <w:ind w:left="0" w:leftChars="0" w:firstLine="0" w:firstLineChars="0"/>
        <w:jc w:val="center"/>
        <w:outlineLvl w:val="0"/>
        <w:rPr>
          <w:rFonts w:hint="default" w:ascii="Times New Roman" w:hAnsi="Times New Roman" w:eastAsia="黑体" w:cs="Times New Roman"/>
          <w:b/>
          <w:bCs/>
          <w:color w:val="auto"/>
          <w:sz w:val="44"/>
          <w:szCs w:val="44"/>
          <w:highlight w:val="none"/>
          <w:lang w:val="en-US" w:eastAsia="zh-CN"/>
        </w:rPr>
      </w:pPr>
      <w:bookmarkStart w:id="101" w:name="_Toc3027"/>
      <w:r>
        <w:rPr>
          <w:rFonts w:hint="eastAsia" w:eastAsia="黑体" w:cs="Times New Roman"/>
          <w:b/>
          <w:bCs/>
          <w:color w:val="auto"/>
          <w:sz w:val="44"/>
          <w:szCs w:val="44"/>
          <w:highlight w:val="none"/>
          <w:lang w:val="en-US" w:eastAsia="zh-CN"/>
        </w:rPr>
        <w:t>5</w:t>
      </w:r>
      <w:r>
        <w:rPr>
          <w:rFonts w:hint="eastAsia" w:eastAsia="黑体" w:cs="Times New Roman"/>
          <w:b w:val="0"/>
          <w:bCs w:val="0"/>
          <w:color w:val="auto"/>
          <w:sz w:val="44"/>
          <w:szCs w:val="44"/>
          <w:highlight w:val="none"/>
          <w:lang w:val="en-US" w:eastAsia="zh-CN"/>
        </w:rPr>
        <w:t>监测工作组织与质量保证</w:t>
      </w:r>
      <w:bookmarkEnd w:id="101"/>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cs="Times New Roman"/>
          <w:b/>
          <w:bCs/>
          <w:color w:val="auto"/>
          <w:sz w:val="36"/>
          <w:szCs w:val="36"/>
          <w:highlight w:val="none"/>
          <w:lang w:val="en-US" w:eastAsia="zh-CN"/>
        </w:rPr>
      </w:pPr>
      <w:bookmarkStart w:id="102" w:name="_Toc28372"/>
      <w:r>
        <w:rPr>
          <w:rFonts w:hint="eastAsia" w:cs="Times New Roman"/>
          <w:b/>
          <w:bCs/>
          <w:color w:val="auto"/>
          <w:sz w:val="36"/>
          <w:szCs w:val="36"/>
          <w:highlight w:val="none"/>
          <w:lang w:val="en-US" w:eastAsia="zh-CN"/>
        </w:rPr>
        <w:t>5.1监测人员组成</w:t>
      </w:r>
      <w:bookmarkEnd w:id="102"/>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为保障监测工作高质量、高效率完成，我单位将组织一支专业知识强、业务水平高、监测设备齐全、监测经验丰富的水土保持队伍，成立丰华曾都君子山风电场工程水土保持监测项目组。针对项目实际情况，落实各项监测工作，明确责任到人，详细分工，同时加强与当地水行政主管部门的联系，及时获取水土保持工作信息。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color w:val="auto"/>
          <w:highlight w:val="none"/>
        </w:rPr>
      </w:pPr>
      <w:r>
        <w:rPr>
          <w:rFonts w:hint="default" w:hAnsi="宋体"/>
          <w:color w:val="auto"/>
          <w:kern w:val="0"/>
          <w:sz w:val="24"/>
          <w:szCs w:val="24"/>
          <w:highlight w:val="none"/>
          <w:lang w:val="en-US" w:eastAsia="zh-CN"/>
        </w:rPr>
        <w:t xml:space="preserve">根据该项目实际情况及相关要求，在每次外业监测时，保证每次至少有 5 名具有水土保持监测能力的工作人员参与监测工作，根据监测外业工作量进行合理分工，确保监测工作科学、系统地开展。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监测工作人员安排和组织分工见表 5-1。 </w:t>
      </w:r>
    </w:p>
    <w:p>
      <w:pPr>
        <w:keepNext w:val="0"/>
        <w:keepLines w:val="0"/>
        <w:widowControl/>
        <w:suppressLineNumbers w:val="0"/>
        <w:jc w:val="center"/>
        <w:rPr>
          <w:rFonts w:hint="default" w:ascii="仿宋_GB2312" w:hAnsi="宋体" w:eastAsia="仿宋_GB2312" w:cs="仿宋_GB2312"/>
          <w:b/>
          <w:bCs/>
          <w:color w:val="auto"/>
          <w:kern w:val="0"/>
          <w:sz w:val="24"/>
          <w:szCs w:val="24"/>
          <w:highlight w:val="none"/>
          <w:lang w:val="en-US" w:eastAsia="zh-CN" w:bidi="ar"/>
        </w:rPr>
      </w:pPr>
      <w:r>
        <w:rPr>
          <w:rFonts w:ascii="仿宋_GB2312" w:hAnsi="宋体" w:eastAsia="仿宋_GB2312" w:cs="仿宋_GB2312"/>
          <w:b/>
          <w:bCs/>
          <w:color w:val="auto"/>
          <w:kern w:val="0"/>
          <w:sz w:val="24"/>
          <w:szCs w:val="24"/>
          <w:highlight w:val="none"/>
          <w:lang w:val="en-US" w:eastAsia="zh-CN" w:bidi="ar"/>
        </w:rPr>
        <w:t xml:space="preserve">表 </w:t>
      </w:r>
      <w:r>
        <w:rPr>
          <w:rFonts w:hint="default" w:ascii="Times New Roman" w:hAnsi="Times New Roman" w:eastAsia="宋体" w:cs="Times New Roman"/>
          <w:b/>
          <w:bCs/>
          <w:color w:val="auto"/>
          <w:kern w:val="0"/>
          <w:sz w:val="24"/>
          <w:szCs w:val="24"/>
          <w:highlight w:val="none"/>
          <w:lang w:val="en-US" w:eastAsia="zh-CN" w:bidi="ar"/>
        </w:rPr>
        <w:t xml:space="preserve">5-1 </w:t>
      </w:r>
      <w:r>
        <w:rPr>
          <w:rFonts w:hint="default" w:ascii="仿宋_GB2312" w:hAnsi="宋体" w:eastAsia="仿宋_GB2312" w:cs="仿宋_GB2312"/>
          <w:b/>
          <w:bCs/>
          <w:color w:val="auto"/>
          <w:kern w:val="0"/>
          <w:sz w:val="24"/>
          <w:szCs w:val="24"/>
          <w:highlight w:val="none"/>
          <w:lang w:val="en-US" w:eastAsia="zh-CN" w:bidi="ar"/>
        </w:rPr>
        <w:t>工程水土保持监测人员安排和组织分工</w:t>
      </w:r>
    </w:p>
    <w:tbl>
      <w:tblPr>
        <w:tblStyle w:val="22"/>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2"/>
        <w:gridCol w:w="1612"/>
        <w:gridCol w:w="1612"/>
        <w:gridCol w:w="1841"/>
        <w:gridCol w:w="1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12"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分组</w:t>
            </w:r>
          </w:p>
        </w:tc>
        <w:tc>
          <w:tcPr>
            <w:tcW w:w="1612"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姓名</w:t>
            </w:r>
          </w:p>
        </w:tc>
        <w:tc>
          <w:tcPr>
            <w:tcW w:w="1612"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职务或职称</w:t>
            </w:r>
          </w:p>
        </w:tc>
        <w:tc>
          <w:tcPr>
            <w:tcW w:w="1841"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监测工作分工</w:t>
            </w:r>
          </w:p>
        </w:tc>
        <w:tc>
          <w:tcPr>
            <w:tcW w:w="1900"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612" w:type="dxa"/>
            <w:vMerge w:val="restart"/>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技术组</w:t>
            </w:r>
          </w:p>
        </w:tc>
        <w:tc>
          <w:tcPr>
            <w:tcW w:w="1612"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黄  强</w:t>
            </w:r>
          </w:p>
        </w:tc>
        <w:tc>
          <w:tcPr>
            <w:tcW w:w="1612"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监测工程师</w:t>
            </w:r>
          </w:p>
        </w:tc>
        <w:tc>
          <w:tcPr>
            <w:tcW w:w="1841"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监测，报告编写</w:t>
            </w:r>
          </w:p>
        </w:tc>
        <w:tc>
          <w:tcPr>
            <w:tcW w:w="1900"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612" w:type="dxa"/>
            <w:vMerge w:val="continue"/>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p>
        </w:tc>
        <w:tc>
          <w:tcPr>
            <w:tcW w:w="1612"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刘宏志</w:t>
            </w:r>
          </w:p>
        </w:tc>
        <w:tc>
          <w:tcPr>
            <w:tcW w:w="1612"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监测工程师</w:t>
            </w:r>
          </w:p>
        </w:tc>
        <w:tc>
          <w:tcPr>
            <w:tcW w:w="1841"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监测，数据统计</w:t>
            </w:r>
          </w:p>
        </w:tc>
        <w:tc>
          <w:tcPr>
            <w:tcW w:w="1900"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612" w:type="dxa"/>
            <w:vMerge w:val="continue"/>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p>
        </w:tc>
        <w:tc>
          <w:tcPr>
            <w:tcW w:w="1612"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尹靖雯</w:t>
            </w:r>
          </w:p>
        </w:tc>
        <w:tc>
          <w:tcPr>
            <w:tcW w:w="1612"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监测员</w:t>
            </w:r>
          </w:p>
        </w:tc>
        <w:tc>
          <w:tcPr>
            <w:tcW w:w="1841"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监测，数据统计</w:t>
            </w:r>
          </w:p>
        </w:tc>
        <w:tc>
          <w:tcPr>
            <w:tcW w:w="1900"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612" w:type="dxa"/>
            <w:vMerge w:val="continue"/>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p>
        </w:tc>
        <w:tc>
          <w:tcPr>
            <w:tcW w:w="1612"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蒋  茂</w:t>
            </w:r>
          </w:p>
        </w:tc>
        <w:tc>
          <w:tcPr>
            <w:tcW w:w="1612"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监测员</w:t>
            </w:r>
          </w:p>
        </w:tc>
        <w:tc>
          <w:tcPr>
            <w:tcW w:w="1841"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监测，数据校核</w:t>
            </w:r>
          </w:p>
        </w:tc>
        <w:tc>
          <w:tcPr>
            <w:tcW w:w="1900" w:type="dxa"/>
            <w:vAlign w:val="center"/>
          </w:tcPr>
          <w:p>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outlineLvl w:val="9"/>
              <w:rPr>
                <w:rFonts w:hint="default" w:hAnsi="宋体"/>
                <w:color w:val="auto"/>
                <w:kern w:val="0"/>
                <w:sz w:val="21"/>
                <w:szCs w:val="21"/>
                <w:highlight w:val="none"/>
                <w:vertAlign w:val="baseline"/>
                <w:lang w:val="en-US" w:eastAsia="zh-CN"/>
              </w:rPr>
            </w:pPr>
            <w:r>
              <w:rPr>
                <w:rFonts w:hint="eastAsia" w:hAnsi="宋体"/>
                <w:color w:val="auto"/>
                <w:kern w:val="0"/>
                <w:sz w:val="21"/>
                <w:szCs w:val="21"/>
                <w:highlight w:val="none"/>
                <w:vertAlign w:val="baseline"/>
                <w:lang w:val="en-US" w:eastAsia="zh-CN"/>
              </w:rPr>
              <w:t>监测，数据校核</w:t>
            </w:r>
          </w:p>
        </w:tc>
      </w:tr>
    </w:tbl>
    <w:p>
      <w:pPr>
        <w:pStyle w:val="2"/>
        <w:rPr>
          <w:color w:val="auto"/>
          <w:highlight w:val="none"/>
        </w:rPr>
      </w:pP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0"/>
        <w:rPr>
          <w:rFonts w:hint="default" w:cs="Times New Roman"/>
          <w:b/>
          <w:bCs/>
          <w:color w:val="auto"/>
          <w:sz w:val="36"/>
          <w:szCs w:val="36"/>
          <w:highlight w:val="none"/>
          <w:lang w:val="en-US" w:eastAsia="zh-CN"/>
        </w:rPr>
      </w:pPr>
      <w:bookmarkStart w:id="103" w:name="_Toc25987"/>
      <w:r>
        <w:rPr>
          <w:rFonts w:hint="eastAsia" w:cs="Times New Roman"/>
          <w:b/>
          <w:bCs/>
          <w:color w:val="auto"/>
          <w:sz w:val="36"/>
          <w:szCs w:val="36"/>
          <w:highlight w:val="none"/>
          <w:lang w:val="en-US" w:eastAsia="zh-CN"/>
        </w:rPr>
        <w:t>5.2监测质量控制体系</w:t>
      </w:r>
      <w:bookmarkEnd w:id="103"/>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开展水土保持监测工作期间，除根据国家水土保持法律法规和行业有关监测技术规程、规范等开展工作外，还将根据我公司管理体系标准要求，即“初步成果完成→初审→修改→送外部专家审核→修改→领导批准，批准打印最后装订成册”，层 层把关，保证监测成果质量，保证项目验收的顺利开展。 </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104" w:name="_Toc25874"/>
      <w:r>
        <w:rPr>
          <w:rFonts w:hint="eastAsia" w:cs="Times New Roman"/>
          <w:b/>
          <w:bCs/>
          <w:color w:val="auto"/>
          <w:sz w:val="28"/>
          <w:szCs w:val="28"/>
          <w:highlight w:val="none"/>
          <w:vertAlign w:val="baseline"/>
          <w:lang w:val="en-US" w:eastAsia="zh-CN"/>
        </w:rPr>
        <w:t>5</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1质量控制措施</w:t>
      </w:r>
      <w:bookmarkEnd w:id="104"/>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（1）项目质量在公司管理体系指导下，采用项目负责人负责制。项目负责人、现场监测人员各司其责，共同努力，确保整个工程监测数据的准确性，对整个监测工作的质量进行管理和控制；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（2）监测工作开展前，要求项目组成员对整个工程的设计报告、图册等内容进行学习，便于监测工作准确、有效开展；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（3）按国家现行的法律、法规及技术规程要求开展监测工作；积极配合各级水行政主管部门的监督、检查；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（4）监测工作所需的仪器、设备，均经过国家相关部门质量检验认定，以保证本项目水土保持监测实施方案证监测结果的真实性、精确度和可靠性；并根据质量体系文件的要求，对监测设备定期进行校验；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（5）定期召开项目情况交流会，使各个成员了解项目的进展情况，同时对工作开展过程中遇到的困难、技术难点等内容进行沟通、落实；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（6）监测工作开展一段时间后，对监测数据进行简要的统计、分析，对于出现突变的数据应做好备注工作；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（7）所有提交出去的整改意见、季度报表、监测报告等均根据公司质量体系文件的要求进行校核、审查、核定、批准等程序，确保成果质量。 </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outlineLvl w:val="1"/>
        <w:rPr>
          <w:rFonts w:hint="default" w:ascii="Times New Roman" w:hAnsi="Times New Roman" w:cs="Times New Roman"/>
          <w:b/>
          <w:bCs/>
          <w:color w:val="auto"/>
          <w:sz w:val="28"/>
          <w:szCs w:val="28"/>
          <w:highlight w:val="none"/>
          <w:vertAlign w:val="baseline"/>
          <w:lang w:val="en-US" w:eastAsia="zh-CN"/>
        </w:rPr>
      </w:pPr>
      <w:bookmarkStart w:id="105" w:name="_Toc13182"/>
      <w:r>
        <w:rPr>
          <w:rFonts w:hint="eastAsia" w:cs="Times New Roman"/>
          <w:b/>
          <w:bCs/>
          <w:color w:val="auto"/>
          <w:sz w:val="28"/>
          <w:szCs w:val="28"/>
          <w:highlight w:val="none"/>
          <w:vertAlign w:val="baseline"/>
          <w:lang w:val="en-US" w:eastAsia="zh-CN"/>
        </w:rPr>
        <w:t>5</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2</w:t>
      </w:r>
      <w:r>
        <w:rPr>
          <w:rFonts w:hint="default" w:ascii="Times New Roman" w:hAnsi="Times New Roman" w:cs="Times New Roman"/>
          <w:b/>
          <w:bCs/>
          <w:color w:val="auto"/>
          <w:sz w:val="28"/>
          <w:szCs w:val="28"/>
          <w:highlight w:val="none"/>
          <w:vertAlign w:val="baseline"/>
          <w:lang w:val="en-US" w:eastAsia="zh-CN"/>
        </w:rPr>
        <w:t>.</w:t>
      </w:r>
      <w:r>
        <w:rPr>
          <w:rFonts w:hint="eastAsia" w:cs="Times New Roman"/>
          <w:b/>
          <w:bCs/>
          <w:color w:val="auto"/>
          <w:sz w:val="28"/>
          <w:szCs w:val="28"/>
          <w:highlight w:val="none"/>
          <w:vertAlign w:val="baseline"/>
          <w:lang w:val="en-US" w:eastAsia="zh-CN"/>
        </w:rPr>
        <w:t>2进度控制措施</w:t>
      </w:r>
      <w:bookmarkEnd w:id="105"/>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（1）按项目部要求，成立监测项目组，配置充足的人员，并及时组织相关技术人员进行项目现场的详细查勘、资料收集、分析、整理工作，以便及时编制完成本工程水土保持监测实施方案；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2）加强与项目组成员之间的沟通和协调。监测工作初期，项目负责人向相关技术人员介绍本工程的基本情况和监测思路、监测重点、监测进度安排，并对相关人员提出质量和进度的要求；监测开展过程中，项目负责人定期召开进度协调会，了解监测各项工作的进展情况，协调监测开展过程中存在的问题，确保监测工作进度；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（3）加强与工程建设指挥部保持经常性的沟通，商讨项目施工过程中存在的水土保持问题，及时提出相关的整改意见及措施，以确保整个监测工作高效、有序地开展；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 xml:space="preserve">（4）加强与各级水行政主管部门的沟通。监测工作开展初期，积极地与各级水行政主管部门沟通，汇报本工程的水土保持监测总体计划及设施的布设情况；监测工作开展过程中，定期汇报水土保持监测工作开展情况、项目施工中存在的问题及整改措施等，配合工程建设指挥部做好各级水行政主管部门的水土保 持监督、检查工作等； </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r>
        <w:rPr>
          <w:rFonts w:hint="default" w:hAnsi="宋体"/>
          <w:color w:val="auto"/>
          <w:kern w:val="0"/>
          <w:sz w:val="24"/>
          <w:szCs w:val="24"/>
          <w:highlight w:val="none"/>
          <w:lang w:val="en-US" w:eastAsia="zh-CN"/>
        </w:rPr>
        <w:t>（5）加强与项目各参建方之间的沟通。监测工作开展初期，通过参加工地例会的方式向各参建方介绍本工程水土保持监测的重点、意义等内容；监测工作组织管理由监测单位安排项目监测负责人承担项目经理，对项目开展过程中，不定期的与各参建单位沟通，提出各参建方负责区块内存在的水土保持问题，提出相关的整改措施，并做好整改工作落实情况的核查工作，及时将核查情况反馈至各参建方，切实做好本工程的水土保持监测工作。</w:t>
      </w: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p>
    <w:p>
      <w:pPr>
        <w:pStyle w:val="2"/>
        <w:keepNext w:val="0"/>
        <w:keepLines w:val="0"/>
        <w:pageBreakBefore w:val="0"/>
        <w:kinsoku/>
        <w:wordWrap/>
        <w:overflowPunct/>
        <w:topLinePunct w:val="0"/>
        <w:bidi w:val="0"/>
        <w:adjustRightInd w:val="0"/>
        <w:snapToGrid w:val="0"/>
        <w:spacing w:after="0" w:afterLines="0" w:line="360" w:lineRule="auto"/>
        <w:ind w:left="0" w:leftChars="0" w:firstLine="480" w:firstLineChars="200"/>
        <w:jc w:val="left"/>
        <w:textAlignment w:val="auto"/>
        <w:rPr>
          <w:rFonts w:hint="default" w:hAnsi="宋体"/>
          <w:color w:val="auto"/>
          <w:kern w:val="0"/>
          <w:sz w:val="24"/>
          <w:szCs w:val="24"/>
          <w:highlight w:val="none"/>
          <w:lang w:val="en-US" w:eastAsia="zh-CN"/>
        </w:rPr>
      </w:pPr>
    </w:p>
    <w:p>
      <w:bookmarkStart w:id="106" w:name="_GoBack"/>
      <w:bookmarkEnd w:id="106"/>
    </w:p>
    <w:sectPr>
      <w:pgSz w:w="11906" w:h="16838"/>
      <w:pgMar w:top="1440" w:right="1440" w:bottom="1440" w:left="1440"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hakuyoxingshu7000">
    <w:panose1 w:val="02000600000000000000"/>
    <w:charset w:val="86"/>
    <w:family w:val="auto"/>
    <w:pitch w:val="default"/>
    <w:sig w:usb0="FFFFFFFF" w:usb1="E9FFFFFF"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 name="文本框 1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6Q0Iz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0hh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P6Q0IzAgAAZQQAAA4AAAAAAAAAAQAgAAAAHwEAAGRycy9lMm9Eb2MueG1sUEsF&#10;BgAAAAAGAAYAWQEAAMQ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75CAA7"/>
    <w:multiLevelType w:val="singleLevel"/>
    <w:tmpl w:val="0475CAA7"/>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224CD3"/>
    <w:rsid w:val="0A034EE8"/>
    <w:rsid w:val="12A26A53"/>
    <w:rsid w:val="5E224CD3"/>
    <w:rsid w:val="5F666EA0"/>
    <w:rsid w:val="62DB7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0" w:firstLineChars="200"/>
      <w:jc w:val="both"/>
    </w:pPr>
    <w:rPr>
      <w:rFonts w:ascii="Times New Roman" w:hAnsi="Times New Roman" w:eastAsia="仿宋_GB2312" w:cstheme="minorBidi"/>
      <w:kern w:val="2"/>
      <w:sz w:val="24"/>
      <w:szCs w:val="24"/>
      <w:lang w:val="en-US" w:eastAsia="zh-CN" w:bidi="ar-SA"/>
    </w:rPr>
  </w:style>
  <w:style w:type="paragraph" w:styleId="3">
    <w:name w:val="heading 1"/>
    <w:basedOn w:val="1"/>
    <w:next w:val="1"/>
    <w:link w:val="27"/>
    <w:qFormat/>
    <w:uiPriority w:val="0"/>
    <w:pPr>
      <w:keepNext/>
      <w:keepLines/>
      <w:spacing w:before="340" w:after="330" w:line="600" w:lineRule="auto"/>
      <w:jc w:val="left"/>
      <w:outlineLvl w:val="0"/>
    </w:pPr>
    <w:rPr>
      <w:rFonts w:ascii="Times New Roman" w:hAnsi="Times New Roman" w:eastAsia="宋体"/>
      <w:b/>
      <w:bCs/>
      <w:kern w:val="44"/>
      <w:sz w:val="36"/>
      <w:szCs w:val="36"/>
    </w:rPr>
  </w:style>
  <w:style w:type="paragraph" w:styleId="4">
    <w:name w:val="heading 2"/>
    <w:basedOn w:val="1"/>
    <w:next w:val="1"/>
    <w:link w:val="25"/>
    <w:semiHidden/>
    <w:unhideWhenUsed/>
    <w:qFormat/>
    <w:uiPriority w:val="0"/>
    <w:pPr>
      <w:keepNext/>
      <w:keepLines/>
      <w:spacing w:before="140" w:after="140" w:line="416" w:lineRule="auto"/>
      <w:outlineLvl w:val="1"/>
    </w:pPr>
    <w:rPr>
      <w:rFonts w:cstheme="majorBidi"/>
      <w:b/>
      <w:bCs/>
      <w:sz w:val="32"/>
      <w:szCs w:val="32"/>
    </w:rPr>
  </w:style>
  <w:style w:type="paragraph" w:styleId="5">
    <w:name w:val="heading 3"/>
    <w:basedOn w:val="1"/>
    <w:next w:val="1"/>
    <w:link w:val="28"/>
    <w:unhideWhenUsed/>
    <w:qFormat/>
    <w:uiPriority w:val="0"/>
    <w:pPr>
      <w:keepNext/>
      <w:keepLines/>
      <w:spacing w:before="260" w:after="260" w:line="416" w:lineRule="auto"/>
      <w:ind w:firstLine="0" w:firstLineChars="0"/>
      <w:outlineLvl w:val="2"/>
    </w:pPr>
    <w:rPr>
      <w:rFonts w:ascii="Times New Roman" w:hAnsi="Times New Roman"/>
      <w:b/>
      <w:bCs/>
      <w:sz w:val="30"/>
      <w:szCs w:val="30"/>
    </w:rPr>
  </w:style>
  <w:style w:type="paragraph" w:styleId="6">
    <w:name w:val="heading 4"/>
    <w:basedOn w:val="1"/>
    <w:next w:val="1"/>
    <w:link w:val="3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afterLines="0" w:afterAutospacing="0" w:line="480" w:lineRule="auto"/>
      <w:ind w:left="420" w:leftChars="200"/>
    </w:pPr>
  </w:style>
  <w:style w:type="paragraph" w:styleId="7">
    <w:name w:val="Normal Indent"/>
    <w:basedOn w:val="1"/>
    <w:next w:val="1"/>
    <w:uiPriority w:val="0"/>
    <w:pPr>
      <w:widowControl/>
      <w:spacing w:line="360" w:lineRule="auto"/>
      <w:ind w:firstLine="200" w:firstLineChars="200"/>
    </w:pPr>
    <w:rPr>
      <w:rFonts w:eastAsia="宋体" w:cs="Times New Roman"/>
      <w:kern w:val="2"/>
      <w:sz w:val="24"/>
      <w:szCs w:val="24"/>
      <w:lang w:val="en-US" w:eastAsia="zh-CN" w:bidi="ar-SA"/>
    </w:rPr>
  </w:style>
  <w:style w:type="paragraph" w:styleId="8">
    <w:name w:val="Body Text"/>
    <w:basedOn w:val="1"/>
    <w:qFormat/>
    <w:uiPriority w:val="0"/>
    <w:pPr>
      <w:spacing w:after="120" w:afterLines="0" w:afterAutospacing="0"/>
    </w:pPr>
  </w:style>
  <w:style w:type="paragraph" w:styleId="9">
    <w:name w:val="Body Text Indent"/>
    <w:basedOn w:val="1"/>
    <w:uiPriority w:val="0"/>
    <w:pPr>
      <w:widowControl/>
      <w:spacing w:line="560" w:lineRule="exact"/>
      <w:ind w:firstLine="560" w:firstLineChars="200"/>
    </w:pPr>
    <w:rPr>
      <w:rFonts w:cs="Times New Roman"/>
      <w:sz w:val="28"/>
      <w:lang/>
    </w:rPr>
  </w:style>
  <w:style w:type="paragraph" w:styleId="10">
    <w:name w:val="toc 3"/>
    <w:basedOn w:val="1"/>
    <w:next w:val="11"/>
    <w:uiPriority w:val="0"/>
    <w:pPr>
      <w:ind w:left="840" w:leftChars="400"/>
    </w:pPr>
  </w:style>
  <w:style w:type="paragraph" w:styleId="11">
    <w:name w:val="List"/>
    <w:basedOn w:val="1"/>
    <w:uiPriority w:val="0"/>
    <w:pPr>
      <w:widowControl/>
      <w:ind w:left="200" w:hanging="200" w:hangingChars="200"/>
    </w:pPr>
    <w:rPr>
      <w:rFonts w:cs="Times New Roman"/>
      <w:lang/>
    </w:rPr>
  </w:style>
  <w:style w:type="paragraph" w:styleId="12">
    <w:name w:val="Plain Text"/>
    <w:basedOn w:val="1"/>
    <w:uiPriority w:val="0"/>
    <w:pPr>
      <w:widowControl/>
      <w:ind w:firstLine="883"/>
    </w:pPr>
    <w:rPr>
      <w:rFonts w:ascii="宋体" w:hAnsi="Courier New" w:cs="Times New Roman"/>
      <w:sz w:val="24"/>
      <w:lang/>
    </w:rPr>
  </w:style>
  <w:style w:type="paragraph" w:styleId="13">
    <w:name w:val="footer"/>
    <w:basedOn w:val="1"/>
    <w:link w:val="30"/>
    <w:qFormat/>
    <w:uiPriority w:val="0"/>
    <w:pPr>
      <w:tabs>
        <w:tab w:val="center" w:pos="4153"/>
        <w:tab w:val="right" w:pos="8306"/>
      </w:tabs>
      <w:snapToGrid w:val="0"/>
      <w:jc w:val="left"/>
    </w:pPr>
    <w:rPr>
      <w:sz w:val="18"/>
      <w:szCs w:val="18"/>
    </w:rPr>
  </w:style>
  <w:style w:type="paragraph" w:styleId="14">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iPriority w:val="0"/>
  </w:style>
  <w:style w:type="paragraph" w:styleId="16">
    <w:name w:val="Subtitle"/>
    <w:basedOn w:val="1"/>
    <w:next w:val="1"/>
    <w:link w:val="26"/>
    <w:qFormat/>
    <w:uiPriority w:val="0"/>
    <w:pPr>
      <w:spacing w:before="240" w:after="60" w:line="312" w:lineRule="auto"/>
      <w:jc w:val="center"/>
      <w:outlineLvl w:val="1"/>
    </w:pPr>
    <w:rPr>
      <w:rFonts w:asciiTheme="minorHAnsi" w:hAnsiTheme="minorHAnsi" w:eastAsiaTheme="minorEastAsia"/>
      <w:b/>
      <w:bCs/>
      <w:kern w:val="28"/>
      <w:sz w:val="32"/>
      <w:szCs w:val="32"/>
    </w:rPr>
  </w:style>
  <w:style w:type="paragraph" w:styleId="17">
    <w:name w:val="toc 2"/>
    <w:basedOn w:val="1"/>
    <w:next w:val="1"/>
    <w:uiPriority w:val="0"/>
    <w:pPr>
      <w:ind w:left="420" w:leftChars="200"/>
    </w:pPr>
  </w:style>
  <w:style w:type="paragraph" w:styleId="18">
    <w:name w:val="Title"/>
    <w:basedOn w:val="1"/>
    <w:next w:val="1"/>
    <w:link w:val="24"/>
    <w:qFormat/>
    <w:uiPriority w:val="0"/>
    <w:pPr>
      <w:spacing w:before="240" w:after="60"/>
      <w:jc w:val="center"/>
      <w:outlineLvl w:val="0"/>
    </w:pPr>
    <w:rPr>
      <w:rFonts w:asciiTheme="majorHAnsi" w:hAnsiTheme="majorHAnsi" w:eastAsiaTheme="majorEastAsia" w:cstheme="majorBidi"/>
      <w:b/>
      <w:bCs/>
      <w:sz w:val="32"/>
      <w:szCs w:val="32"/>
    </w:rPr>
  </w:style>
  <w:style w:type="paragraph" w:styleId="19">
    <w:name w:val="Body Text First Indent"/>
    <w:basedOn w:val="8"/>
    <w:next w:val="1"/>
    <w:uiPriority w:val="0"/>
    <w:pPr>
      <w:ind w:firstLine="420" w:firstLineChars="100"/>
    </w:pPr>
  </w:style>
  <w:style w:type="paragraph" w:styleId="20">
    <w:name w:val="Body Text First Indent 2"/>
    <w:basedOn w:val="9"/>
    <w:uiPriority w:val="0"/>
    <w:pPr>
      <w:ind w:firstLine="200" w:firstLineChars="200"/>
    </w:pPr>
    <w:rPr>
      <w:rFonts w:ascii="Times New Roman" w:hAnsi="Times New Roman" w:eastAsia="宋体" w:cs="Times New Roman"/>
      <w:sz w:val="24"/>
      <w:lang w:val="en-US" w:eastAsia="zh-CN" w:bidi="ar-SA"/>
    </w:rPr>
  </w:style>
  <w:style w:type="table" w:styleId="22">
    <w:name w:val="Table Grid"/>
    <w:basedOn w:val="21"/>
    <w:qFormat/>
    <w:uiPriority w:val="0"/>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标题 字符"/>
    <w:basedOn w:val="23"/>
    <w:link w:val="18"/>
    <w:qFormat/>
    <w:uiPriority w:val="10"/>
    <w:rPr>
      <w:rFonts w:asciiTheme="majorHAnsi" w:hAnsiTheme="majorHAnsi" w:eastAsiaTheme="majorEastAsia" w:cstheme="majorBidi"/>
      <w:b/>
      <w:bCs/>
      <w:sz w:val="32"/>
      <w:szCs w:val="32"/>
    </w:rPr>
  </w:style>
  <w:style w:type="character" w:customStyle="1" w:styleId="25">
    <w:name w:val="标题 2 字符"/>
    <w:basedOn w:val="23"/>
    <w:link w:val="4"/>
    <w:qFormat/>
    <w:uiPriority w:val="9"/>
    <w:rPr>
      <w:rFonts w:ascii="Times New Roman" w:hAnsi="Times New Roman" w:eastAsia="宋体" w:cstheme="majorBidi"/>
      <w:b/>
      <w:bCs/>
      <w:sz w:val="32"/>
      <w:szCs w:val="32"/>
    </w:rPr>
  </w:style>
  <w:style w:type="character" w:customStyle="1" w:styleId="26">
    <w:name w:val="副标题 字符"/>
    <w:basedOn w:val="23"/>
    <w:link w:val="16"/>
    <w:qFormat/>
    <w:uiPriority w:val="11"/>
    <w:rPr>
      <w:rFonts w:cs="Times New Roman" w:asciiTheme="minorHAnsi" w:hAnsiTheme="minorHAnsi" w:eastAsiaTheme="minorEastAsia"/>
      <w:b/>
      <w:bCs/>
      <w:kern w:val="28"/>
      <w:sz w:val="32"/>
      <w:szCs w:val="32"/>
    </w:rPr>
  </w:style>
  <w:style w:type="character" w:customStyle="1" w:styleId="27">
    <w:name w:val="标题 1 字符"/>
    <w:basedOn w:val="23"/>
    <w:link w:val="3"/>
    <w:qFormat/>
    <w:uiPriority w:val="9"/>
    <w:rPr>
      <w:rFonts w:ascii="Times New Roman" w:hAnsi="Times New Roman" w:eastAsia="宋体" w:cs="Times New Roman"/>
      <w:b/>
      <w:bCs/>
      <w:kern w:val="44"/>
      <w:sz w:val="36"/>
      <w:szCs w:val="36"/>
    </w:rPr>
  </w:style>
  <w:style w:type="character" w:customStyle="1" w:styleId="28">
    <w:name w:val="标题 3 字符"/>
    <w:basedOn w:val="23"/>
    <w:link w:val="5"/>
    <w:qFormat/>
    <w:uiPriority w:val="9"/>
    <w:rPr>
      <w:rFonts w:ascii="Times New Roman" w:hAnsi="Times New Roman" w:eastAsia="宋体" w:cs="Times New Roman"/>
      <w:b/>
      <w:bCs/>
      <w:sz w:val="30"/>
      <w:szCs w:val="30"/>
    </w:rPr>
  </w:style>
  <w:style w:type="character" w:customStyle="1" w:styleId="29">
    <w:name w:val="页眉 字符"/>
    <w:basedOn w:val="23"/>
    <w:link w:val="14"/>
    <w:qFormat/>
    <w:uiPriority w:val="99"/>
    <w:rPr>
      <w:rFonts w:ascii="Times New Roman" w:hAnsi="Times New Roman" w:eastAsia="宋体" w:cs="Times New Roman"/>
      <w:sz w:val="18"/>
      <w:szCs w:val="18"/>
    </w:rPr>
  </w:style>
  <w:style w:type="character" w:customStyle="1" w:styleId="30">
    <w:name w:val="页脚 字符"/>
    <w:basedOn w:val="23"/>
    <w:link w:val="13"/>
    <w:qFormat/>
    <w:uiPriority w:val="99"/>
    <w:rPr>
      <w:rFonts w:ascii="Times New Roman" w:hAnsi="Times New Roman" w:eastAsia="宋体" w:cs="Times New Roman"/>
      <w:sz w:val="18"/>
      <w:szCs w:val="18"/>
    </w:rPr>
  </w:style>
  <w:style w:type="character" w:customStyle="1" w:styleId="31">
    <w:name w:val="标题 4 Char"/>
    <w:link w:val="6"/>
    <w:qFormat/>
    <w:uiPriority w:val="0"/>
    <w:rPr>
      <w:rFonts w:ascii="Arial" w:hAnsi="Arial" w:eastAsia="黑体" w:cs="Times New Roman"/>
      <w:b/>
      <w:sz w:val="28"/>
    </w:rPr>
  </w:style>
  <w:style w:type="paragraph" w:customStyle="1" w:styleId="32">
    <w:name w:val="正文文字"/>
    <w:basedOn w:val="7"/>
    <w:qFormat/>
    <w:uiPriority w:val="0"/>
    <w:pPr>
      <w:adjustRightInd w:val="0"/>
      <w:snapToGrid w:val="0"/>
    </w:pPr>
    <w:rPr>
      <w:rFonts w:eastAsia="宋体"/>
      <w:kern w:val="2"/>
      <w:sz w:val="24"/>
      <w:szCs w:val="24"/>
      <w:lang w:val="en-US" w:eastAsia="zh-CN" w:bidi="ar-SA"/>
    </w:rPr>
  </w:style>
  <w:style w:type="paragraph" w:customStyle="1" w:styleId="33">
    <w:name w:val="Default"/>
    <w:unhideWhenUsed/>
    <w:qFormat/>
    <w:uiPriority w:val="99"/>
    <w:pPr>
      <w:widowControl w:val="0"/>
      <w:autoSpaceDE w:val="0"/>
      <w:autoSpaceDN w:val="0"/>
      <w:adjustRightInd w:val="0"/>
      <w:spacing w:beforeLines="0" w:afterLines="0"/>
    </w:pPr>
    <w:rPr>
      <w:rFonts w:hint="eastAsia" w:ascii="Times New Roman" w:hAnsi="Times New Roman" w:eastAsia="Times New Roman" w:cstheme="minorBidi"/>
      <w:color w:val="000000"/>
      <w:sz w:val="24"/>
      <w:szCs w:val="24"/>
    </w:rPr>
  </w:style>
  <w:style w:type="paragraph" w:customStyle="1" w:styleId="34">
    <w:name w:val="WPSOffice手动目录 1"/>
    <w:qFormat/>
    <w:uiPriority w:val="0"/>
    <w:pPr>
      <w:ind w:leftChars="0"/>
    </w:pPr>
    <w:rPr>
      <w:rFonts w:ascii="Times New Roman" w:hAnsi="Times New Roman" w:eastAsia="宋体" w:cs="Times New Roman"/>
      <w:sz w:val="20"/>
      <w:szCs w:val="20"/>
    </w:rPr>
  </w:style>
  <w:style w:type="paragraph" w:customStyle="1" w:styleId="35">
    <w:name w:val="WPSOffice手动目录 2"/>
    <w:qFormat/>
    <w:uiPriority w:val="0"/>
    <w:pPr>
      <w:ind w:leftChars="200"/>
    </w:pPr>
    <w:rPr>
      <w:rFonts w:ascii="Times New Roman" w:hAnsi="Times New Roman" w:eastAsia="宋体" w:cs="Times New Roman"/>
      <w:sz w:val="20"/>
      <w:szCs w:val="20"/>
    </w:rPr>
  </w:style>
  <w:style w:type="paragraph" w:customStyle="1" w:styleId="36">
    <w:name w:val="表格标题"/>
    <w:basedOn w:val="1"/>
    <w:qFormat/>
    <w:uiPriority w:val="0"/>
    <w:pPr>
      <w:adjustRightInd w:val="0"/>
      <w:snapToGrid w:val="0"/>
      <w:spacing w:line="240" w:lineRule="auto"/>
      <w:ind w:firstLine="0" w:firstLineChars="0"/>
      <w:jc w:val="left"/>
    </w:pPr>
    <w:rPr>
      <w:rFonts w:eastAsia="黑体"/>
      <w:sz w:val="21"/>
      <w:szCs w:val="24"/>
    </w:rPr>
  </w:style>
  <w:style w:type="paragraph" w:customStyle="1" w:styleId="37">
    <w:name w:val="表头"/>
    <w:basedOn w:val="1"/>
    <w:qFormat/>
    <w:uiPriority w:val="0"/>
    <w:pPr>
      <w:adjustRightInd w:val="0"/>
      <w:snapToGrid w:val="0"/>
      <w:spacing w:line="0" w:lineRule="atLeast"/>
      <w:ind w:firstLine="0" w:firstLineChars="0"/>
      <w:jc w:val="center"/>
    </w:pPr>
    <w:rPr>
      <w:rFonts w:eastAsia="黑体"/>
      <w:kern w:val="0"/>
      <w:sz w:val="21"/>
      <w:szCs w:val="24"/>
    </w:rPr>
  </w:style>
  <w:style w:type="paragraph" w:customStyle="1" w:styleId="38">
    <w:name w:val="表格"/>
    <w:basedOn w:val="1"/>
    <w:qFormat/>
    <w:uiPriority w:val="0"/>
    <w:pPr>
      <w:adjustRightInd w:val="0"/>
      <w:snapToGrid w:val="0"/>
      <w:spacing w:line="240" w:lineRule="auto"/>
      <w:ind w:firstLine="0" w:firstLineChars="0"/>
      <w:jc w:val="center"/>
    </w:pPr>
    <w:rPr>
      <w:kern w:val="0"/>
      <w:sz w:val="21"/>
      <w:szCs w:val="24"/>
    </w:rPr>
  </w:style>
  <w:style w:type="paragraph" w:customStyle="1" w:styleId="39">
    <w:name w:val="正文3"/>
    <w:basedOn w:val="1"/>
    <w:qFormat/>
    <w:uiPriority w:val="0"/>
    <w:pPr>
      <w:adjustRightInd w:val="0"/>
      <w:snapToGrid w:val="0"/>
      <w:ind w:firstLine="480" w:firstLineChars="200"/>
    </w:pPr>
    <w:rPr>
      <w:rFonts w:eastAsia="宋体" w:cs="宋体"/>
      <w:sz w:val="24"/>
      <w:lang w:val="en-US" w:eastAsia="zh-CN"/>
    </w:rPr>
  </w:style>
  <w:style w:type="paragraph" w:customStyle="1" w:styleId="40">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jpe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2021-07-24T01:16:00Z</dcterms:created>
  <dc:creator>admin</dc:creator>
  <cp:lastModifiedBy>神的随波逐流</cp:lastModifiedBy>
  <dcterms:modified xsi:type="dcterms:W3CDTF">2021-12-31T03:50:20Z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3E9E42DC5FE0408DA23E8E08BE0EB94A</vt:lpwstr>
  </property>
</Properties>
</file>